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ind w:firstLine="533"/>
        <w:spacing w:before="293" w:line="191" w:lineRule="auto"/>
        <w:rPr>
          <w:rFonts w:ascii="Microsoft YaHei" w:hAnsi="Microsoft YaHei" w:eastAsia="Microsoft YaHei" w:cs="Microsoft YaHei"/>
          <w:sz w:val="16"/>
          <w:szCs w:val="16"/>
        </w:rPr>
      </w:pPr>
      <w:r>
        <w:drawing>
          <wp:anchor distT="0" distB="0" distL="0" distR="0" simplePos="0" relativeHeight="251659264" behindDoc="0" locked="0" layoutInCell="0" allowOverlap="1">
            <wp:simplePos x="0" y="0"/>
            <wp:positionH relativeFrom="page">
              <wp:posOffset>436625</wp:posOffset>
            </wp:positionH>
            <wp:positionV relativeFrom="page">
              <wp:posOffset>1891969</wp:posOffset>
            </wp:positionV>
            <wp:extent cx="6695948" cy="6832"/>
            <wp:effectExtent l="0" t="0" r="0" b="0"/>
            <wp:wrapNone/>
            <wp:docPr id="1" name="IM 1"/>
            <wp:cNvGraphicFramePr/>
            <a:graphic>
              <a:graphicData uri="http://schemas.openxmlformats.org/drawingml/2006/picture">
                <pic:pic>
                  <pic:nvPicPr>
                    <pic:cNvPr id="1" name="IM 1"/>
                    <pic:cNvPicPr/>
                  </pic:nvPicPr>
                  <pic:blipFill>
                    <a:blip r:embed="rId1"/>
                    <a:stretch>
                      <a:fillRect/>
                    </a:stretch>
                  </pic:blipFill>
                  <pic:spPr>
                    <a:xfrm rot="0">
                      <a:off x="0" y="0"/>
                      <a:ext cx="6695948" cy="6832"/>
                    </a:xfrm>
                    <a:prstGeom prst="rect">
                      <a:avLst/>
                    </a:prstGeom>
                  </pic:spPr>
                </pic:pic>
              </a:graphicData>
            </a:graphic>
          </wp:anchor>
        </w:drawing>
      </w:r>
      <w:r>
        <w:drawing>
          <wp:anchor distT="0" distB="0" distL="0" distR="0" simplePos="0" relativeHeight="251658240" behindDoc="0" locked="0" layoutInCell="0" allowOverlap="1">
            <wp:simplePos x="0" y="0"/>
            <wp:positionH relativeFrom="page">
              <wp:posOffset>368299</wp:posOffset>
            </wp:positionH>
            <wp:positionV relativeFrom="page">
              <wp:posOffset>504951</wp:posOffset>
            </wp:positionV>
            <wp:extent cx="3265982" cy="512444"/>
            <wp:effectExtent l="0" t="0" r="0" b="0"/>
            <wp:wrapNone/>
            <wp:docPr id="2" name="IM 2"/>
            <wp:cNvGraphicFramePr/>
            <a:graphic>
              <a:graphicData uri="http://schemas.openxmlformats.org/drawingml/2006/picture">
                <pic:pic>
                  <pic:nvPicPr>
                    <pic:cNvPr id="2" name="IM 2"/>
                    <pic:cNvPicPr/>
                  </pic:nvPicPr>
                  <pic:blipFill>
                    <a:blip r:embed="rId2"/>
                    <a:stretch>
                      <a:fillRect/>
                    </a:stretch>
                  </pic:blipFill>
                  <pic:spPr>
                    <a:xfrm rot="0">
                      <a:off x="0" y="0"/>
                      <a:ext cx="3265982" cy="512444"/>
                    </a:xfrm>
                    <a:prstGeom prst="rect">
                      <a:avLst/>
                    </a:prstGeom>
                  </pic:spPr>
                </pic:pic>
              </a:graphicData>
            </a:graphic>
          </wp:anchor>
        </w:drawing>
      </w:r>
      <w:r>
        <w:rPr>
          <w:rFonts w:ascii="Arial" w:hAnsi="Arial" w:eastAsia="Arial" w:cs="Arial"/>
          <w:sz w:val="16"/>
          <w:szCs w:val="16"/>
          <w:spacing w:val="-2"/>
          <w:position w:val="1"/>
        </w:rPr>
        <w:t>2022/4/27</w:t>
      </w:r>
      <w:r>
        <w:rPr>
          <w:rFonts w:ascii="Arial" w:hAnsi="Arial" w:eastAsia="Arial" w:cs="Arial"/>
          <w:sz w:val="16"/>
          <w:szCs w:val="16"/>
          <w:spacing w:val="4"/>
          <w:position w:val="1"/>
        </w:rPr>
        <w:t>                </w:t>
      </w:r>
      <w:r>
        <w:rPr>
          <w:rFonts w:ascii="Microsoft YaHei" w:hAnsi="Microsoft YaHei" w:eastAsia="Microsoft YaHei" w:cs="Microsoft YaHei"/>
          <w:sz w:val="16"/>
          <w:szCs w:val="16"/>
          <w:spacing w:val="-2"/>
        </w:rPr>
        <w:t>加快会计数字化转型</w:t>
      </w:r>
      <w:r>
        <w:rPr>
          <w:rFonts w:ascii="Microsoft YaHei" w:hAnsi="Microsoft YaHei" w:eastAsia="Microsoft YaHei" w:cs="Microsoft YaHei"/>
          <w:sz w:val="16"/>
          <w:szCs w:val="16"/>
          <w:spacing w:val="6"/>
          <w:w w:val="101"/>
        </w:rPr>
        <w:t> </w:t>
      </w:r>
      <w:r>
        <w:rPr>
          <w:rFonts w:ascii="Microsoft YaHei" w:hAnsi="Microsoft YaHei" w:eastAsia="Microsoft YaHei" w:cs="Microsoft YaHei"/>
          <w:sz w:val="16"/>
          <w:szCs w:val="16"/>
          <w:spacing w:val="-2"/>
        </w:rPr>
        <w:t>支撑会计职能拓展推动会计信息化工作向更高水平迈进</w:t>
      </w:r>
      <w:r>
        <w:rPr>
          <w:rFonts w:ascii="Arial" w:hAnsi="Arial" w:eastAsia="Arial" w:cs="Arial"/>
          <w:sz w:val="16"/>
          <w:szCs w:val="16"/>
          <w:spacing w:val="-2"/>
        </w:rPr>
        <w:t>——</w:t>
      </w:r>
      <w:r>
        <w:rPr>
          <w:rFonts w:ascii="Arial" w:hAnsi="Arial" w:eastAsia="Arial" w:cs="Arial"/>
          <w:sz w:val="16"/>
          <w:szCs w:val="16"/>
          <w:spacing w:val="33"/>
          <w:w w:val="102"/>
        </w:rPr>
        <w:t> </w:t>
      </w:r>
      <w:r>
        <w:rPr>
          <w:rFonts w:ascii="Microsoft YaHei" w:hAnsi="Microsoft YaHei" w:eastAsia="Microsoft YaHei" w:cs="Microsoft YaHei"/>
          <w:sz w:val="16"/>
          <w:szCs w:val="16"/>
          <w:spacing w:val="-2"/>
        </w:rPr>
        <w:t>《会计改革与发展</w:t>
      </w:r>
      <w:r>
        <w:rPr>
          <w:rFonts w:ascii="Arial" w:hAnsi="Arial" w:eastAsia="Arial" w:cs="Arial"/>
          <w:sz w:val="16"/>
          <w:szCs w:val="16"/>
          <w:spacing w:val="-2"/>
        </w:rPr>
        <w:t>“</w:t>
      </w:r>
      <w:r>
        <w:rPr>
          <w:rFonts w:ascii="Microsoft YaHei" w:hAnsi="Microsoft YaHei" w:eastAsia="Microsoft YaHei" w:cs="Microsoft YaHei"/>
          <w:sz w:val="16"/>
          <w:szCs w:val="16"/>
          <w:spacing w:val="-2"/>
        </w:rPr>
        <w:t>十四五</w:t>
      </w:r>
      <w:r>
        <w:rPr>
          <w:rFonts w:ascii="Arial" w:hAnsi="Arial" w:eastAsia="Arial" w:cs="Arial"/>
          <w:sz w:val="16"/>
          <w:szCs w:val="16"/>
          <w:spacing w:val="-2"/>
        </w:rPr>
        <w:t>”</w:t>
      </w:r>
      <w:r>
        <w:rPr>
          <w:rFonts w:ascii="Microsoft YaHei" w:hAnsi="Microsoft YaHei" w:eastAsia="Microsoft YaHei" w:cs="Microsoft YaHei"/>
          <w:sz w:val="16"/>
          <w:szCs w:val="16"/>
          <w:spacing w:val="-2"/>
        </w:rPr>
        <w:t>规划纲要》系列解读之六</w:t>
      </w:r>
    </w:p>
    <w:p>
      <w:pPr>
        <w:spacing w:line="369" w:lineRule="auto"/>
        <w:rPr>
          <w:rFonts w:ascii="SimSun"/>
          <w:sz w:val="21"/>
        </w:rPr>
      </w:pPr>
      <w:r/>
    </w:p>
    <w:p>
      <w:pPr>
        <w:ind w:firstLine="9228"/>
        <w:spacing w:before="141" w:line="180" w:lineRule="auto"/>
        <w:rPr>
          <w:rFonts w:ascii="Microsoft YaHei" w:hAnsi="Microsoft YaHei" w:eastAsia="Microsoft YaHei" w:cs="Microsoft YaHei"/>
          <w:sz w:val="33"/>
          <w:szCs w:val="33"/>
        </w:rPr>
      </w:pPr>
      <w:r>
        <w:rPr>
          <w:rFonts w:ascii="Microsoft YaHei" w:hAnsi="Microsoft YaHei" w:eastAsia="Microsoft YaHei" w:cs="Microsoft YaHei"/>
          <w:sz w:val="33"/>
          <w:szCs w:val="33"/>
          <w:color w:val="002973"/>
          <w:spacing w:val="2"/>
        </w:rPr>
        <w:t>会计司</w:t>
      </w:r>
    </w:p>
    <w:p>
      <w:pPr>
        <w:rPr/>
      </w:pPr>
      <w:r/>
    </w:p>
    <w:p>
      <w:pPr>
        <w:spacing w:line="125" w:lineRule="exact"/>
        <w:rPr/>
      </w:pPr>
      <w:r/>
    </w:p>
    <w:p>
      <w:pPr>
        <w:sectPr>
          <w:pgSz w:w="11900" w:h="16839"/>
          <w:pgMar w:top="0" w:right="0" w:bottom="0" w:left="0" w:header="0" w:footer="0" w:gutter="0"/>
          <w:cols w:equalWidth="0" w:num="1">
            <w:col w:w="11900" w:space="0"/>
          </w:cols>
        </w:sectPr>
        <w:rPr/>
      </w:pPr>
    </w:p>
    <w:p>
      <w:pPr>
        <w:ind w:firstLine="803"/>
        <w:spacing w:before="147" w:line="180" w:lineRule="auto"/>
        <w:rPr>
          <w:rFonts w:ascii="Microsoft YaHei" w:hAnsi="Microsoft YaHei" w:eastAsia="Microsoft YaHei" w:cs="Microsoft YaHei"/>
          <w:sz w:val="15"/>
          <w:szCs w:val="15"/>
        </w:rPr>
      </w:pPr>
      <w:r>
        <w:rPr>
          <w:rFonts w:ascii="Microsoft YaHei" w:hAnsi="Microsoft YaHei" w:eastAsia="Microsoft YaHei" w:cs="Microsoft YaHei"/>
          <w:sz w:val="15"/>
          <w:szCs w:val="15"/>
          <w:color w:val="ABABAB"/>
          <w:spacing w:val="-1"/>
        </w:rPr>
        <w:t>2022年04月27日</w:t>
      </w:r>
      <w:r>
        <w:rPr>
          <w:rFonts w:ascii="Microsoft YaHei" w:hAnsi="Microsoft YaHei" w:eastAsia="Microsoft YaHei" w:cs="Microsoft YaHei"/>
          <w:sz w:val="15"/>
          <w:szCs w:val="15"/>
          <w:color w:val="ABABAB"/>
          <w:spacing w:val="6"/>
        </w:rPr>
        <w:t>  </w:t>
      </w:r>
      <w:r>
        <w:rPr>
          <w:rFonts w:ascii="Microsoft YaHei" w:hAnsi="Microsoft YaHei" w:eastAsia="Microsoft YaHei" w:cs="Microsoft YaHei"/>
          <w:sz w:val="15"/>
          <w:szCs w:val="15"/>
          <w:color w:val="ABABAB"/>
          <w:spacing w:val="-1"/>
        </w:rPr>
        <w:t>星期三</w:t>
      </w:r>
    </w:p>
    <w:p>
      <w:pPr>
        <w:spacing w:line="42" w:lineRule="exact"/>
        <w:rPr/>
      </w:pPr>
      <w:r/>
    </w:p>
    <w:p>
      <w:pPr>
        <w:spacing w:line="14" w:lineRule="auto"/>
        <w:rPr>
          <w:rFonts w:ascii="SimSun"/>
          <w:sz w:val="2"/>
        </w:rPr>
      </w:pPr>
      <w:r>
        <w:rPr>
          <w:rFonts w:ascii="SimSun" w:hAnsi="SimSun" w:eastAsia="SimSun" w:cs="SimSun"/>
          <w:sz w:val="2"/>
          <w:szCs w:val="2"/>
        </w:rPr>
        <w:br w:type="column"/>
      </w:r>
    </w:p>
    <w:p>
      <w:pPr>
        <w:spacing w:line="58" w:lineRule="exact"/>
        <w:rPr/>
      </w:pPr>
      <w:r/>
    </w:p>
    <w:tbl>
      <w:tblPr>
        <w:tblStyle w:val="2"/>
        <w:tblW w:w="1786" w:type="dxa"/>
        <w:tblInd w:w="638" w:type="dxa"/>
        <w:tblLayout w:type="fixed"/>
        <w:tblBorders>
          <w:left w:val="single" w:color="64A0D2" w:sz="4" w:space="0"/>
          <w:bottom w:val="single" w:color="64A0D2" w:sz="4" w:space="0"/>
          <w:right w:val="single" w:color="64A0D2" w:sz="4" w:space="0"/>
          <w:top w:val="single" w:color="64A0D2" w:sz="4" w:space="0"/>
        </w:tblBorders>
      </w:tblPr>
      <w:tblGrid>
        <w:gridCol w:w="1786"/>
      </w:tblGrid>
      <w:tr>
        <w:trPr>
          <w:trHeight w:val="281" w:hRule="atLeast"/>
        </w:trPr>
        <w:tc>
          <w:tcPr>
            <w:tcW w:w="1786" w:type="dxa"/>
            <w:vAlign w:val="top"/>
          </w:tcPr>
          <w:p>
            <w:pPr>
              <w:ind w:firstLine="78"/>
              <w:spacing w:before="71" w:line="180"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ABABAB"/>
                <w:spacing w:val="2"/>
              </w:rPr>
              <w:t>请输入关键字</w:t>
            </w:r>
          </w:p>
        </w:tc>
      </w:tr>
    </w:tbl>
    <w:p>
      <w:pPr>
        <w:spacing w:line="21" w:lineRule="exact"/>
        <w:rPr>
          <w:rFonts w:ascii="SimSun"/>
          <w:sz w:val="2"/>
        </w:rPr>
      </w:pPr>
      <w:r/>
    </w:p>
    <w:p>
      <w:pPr>
        <w:spacing w:line="14" w:lineRule="auto"/>
        <w:rPr>
          <w:rFonts w:ascii="SimSun"/>
          <w:sz w:val="2"/>
        </w:rPr>
      </w:pPr>
      <w:r>
        <w:rPr>
          <w:rFonts w:ascii="SimSun" w:hAnsi="SimSun" w:eastAsia="SimSun" w:cs="SimSun"/>
          <w:sz w:val="2"/>
          <w:szCs w:val="2"/>
        </w:rPr>
        <w:br w:type="column"/>
      </w:r>
    </w:p>
    <w:p>
      <w:pPr>
        <w:spacing w:line="58" w:lineRule="exact"/>
        <w:rPr/>
      </w:pPr>
      <w:r/>
    </w:p>
    <w:tbl>
      <w:tblPr>
        <w:tblStyle w:val="2"/>
        <w:tblW w:w="1733" w:type="dxa"/>
        <w:tblInd w:w="14" w:type="dxa"/>
        <w:tblLayout w:type="fixed"/>
        <w:tblBorders>
          <w:left w:val="single" w:color="64A0D2" w:sz="4" w:space="0"/>
          <w:bottom w:val="single" w:color="64A0D2" w:sz="4" w:space="0"/>
          <w:right w:val="single" w:color="64A0D2" w:sz="4" w:space="0"/>
          <w:top w:val="single" w:color="64A0D2" w:sz="4" w:space="0"/>
        </w:tblBorders>
      </w:tblPr>
      <w:tblGrid>
        <w:gridCol w:w="1733"/>
      </w:tblGrid>
      <w:tr>
        <w:trPr>
          <w:trHeight w:val="301" w:hRule="atLeast"/>
        </w:trPr>
        <w:tc>
          <w:tcPr>
            <w:shd w:val="clear" w:fill="FFFFFF"/>
            <w:tcW w:w="1733" w:type="dxa"/>
            <w:vAlign w:val="top"/>
          </w:tcPr>
          <w:p>
            <w:pPr>
              <w:ind w:firstLine="109"/>
              <w:spacing w:before="78" w:line="180" w:lineRule="auto"/>
              <w:rPr>
                <w:rFonts w:ascii="Microsoft YaHei" w:hAnsi="Microsoft YaHei" w:eastAsia="Microsoft YaHei" w:cs="Microsoft YaHei"/>
                <w:sz w:val="15"/>
                <w:szCs w:val="15"/>
              </w:rPr>
            </w:pPr>
            <w:r>
              <w:rPr>
                <w:rFonts w:ascii="Microsoft YaHei" w:hAnsi="Microsoft YaHei" w:eastAsia="Microsoft YaHei" w:cs="Microsoft YaHei"/>
                <w:sz w:val="15"/>
                <w:szCs w:val="15"/>
                <w:color w:val="ABABAB"/>
              </w:rPr>
              <w:t>会计司</w:t>
            </w:r>
          </w:p>
        </w:tc>
      </w:tr>
    </w:tbl>
    <w:p>
      <w:pPr>
        <w:spacing w:line="14" w:lineRule="auto"/>
        <w:rPr>
          <w:rFonts w:ascii="SimSun"/>
          <w:sz w:val="2"/>
        </w:rPr>
      </w:pPr>
      <w:r/>
    </w:p>
    <w:p>
      <w:pPr>
        <w:spacing w:line="14" w:lineRule="auto"/>
        <w:rPr>
          <w:rFonts w:ascii="SimSun"/>
          <w:sz w:val="2"/>
        </w:rPr>
      </w:pPr>
      <w:r>
        <w:rPr>
          <w:rFonts w:ascii="SimSun" w:hAnsi="SimSun" w:eastAsia="SimSun" w:cs="SimSun"/>
          <w:sz w:val="2"/>
          <w:szCs w:val="2"/>
        </w:rPr>
        <w:br w:type="column"/>
      </w:r>
    </w:p>
    <w:p>
      <w:pPr>
        <w:ind w:firstLine="109"/>
        <w:spacing w:before="80" w:line="301" w:lineRule="exact"/>
        <w:rPr>
          <w:rFonts w:ascii="Microsoft YaHei" w:hAnsi="Microsoft YaHei" w:eastAsia="Microsoft YaHei" w:cs="Microsoft YaHei"/>
          <w:sz w:val="15"/>
          <w:szCs w:val="15"/>
        </w:rPr>
      </w:pPr>
      <w:hyperlink w:history="true" r:id="rId3">
        <w:r>
          <w:rPr>
            <w:shd w:val="clear" w:fill="FFFFFE"/>
            <w:rFonts w:ascii="Microsoft YaHei" w:hAnsi="Microsoft YaHei" w:eastAsia="Microsoft YaHei" w:cs="Microsoft YaHei"/>
            <w:sz w:val="15"/>
            <w:szCs w:val="15"/>
            <w:color w:val="ABABAB"/>
            <w:spacing w:val="-1"/>
            <w:position w:val="3"/>
          </w:rPr>
          <w:t>搜索</w:t>
        </w:r>
      </w:hyperlink>
    </w:p>
    <w:p>
      <w:pPr>
        <w:spacing w:line="14" w:lineRule="auto"/>
        <w:rPr>
          <w:rFonts w:ascii="SimSun"/>
          <w:sz w:val="2"/>
        </w:rPr>
      </w:pPr>
      <w:r>
        <w:rPr>
          <w:rFonts w:ascii="SimSun" w:hAnsi="SimSun" w:eastAsia="SimSun" w:cs="SimSun"/>
          <w:sz w:val="2"/>
          <w:szCs w:val="2"/>
        </w:rPr>
        <w:br w:type="column"/>
      </w:r>
    </w:p>
    <w:p>
      <w:pPr>
        <w:ind w:firstLine="1156"/>
        <w:spacing w:before="112" w:line="191" w:lineRule="auto"/>
        <w:rPr>
          <w:rFonts w:ascii="Microsoft YaHei" w:hAnsi="Microsoft YaHei" w:eastAsia="Microsoft YaHei" w:cs="Microsoft YaHei"/>
          <w:sz w:val="15"/>
          <w:szCs w:val="15"/>
        </w:rPr>
      </w:pPr>
      <w:hyperlink w:history="true" r:id="rId4">
        <w:r>
          <w:rPr>
            <w:rFonts w:ascii="Microsoft YaHei" w:hAnsi="Microsoft YaHei" w:eastAsia="Microsoft YaHei" w:cs="Microsoft YaHei"/>
            <w:sz w:val="15"/>
            <w:szCs w:val="15"/>
            <w:color w:val="63839E"/>
          </w:rPr>
          <w:t>返回主站</w:t>
        </w:r>
      </w:hyperlink>
    </w:p>
    <w:p>
      <w:pPr>
        <w:sectPr>
          <w:type w:val="continuous"/>
          <w:pgSz w:w="11900" w:h="16839"/>
          <w:pgMar w:top="0" w:right="0" w:bottom="0" w:left="0" w:header="0" w:footer="0" w:gutter="0"/>
          <w:cols w:equalWidth="0" w:num="5">
            <w:col w:w="3128" w:space="100"/>
            <w:col w:w="2440" w:space="100"/>
            <w:col w:w="1753" w:space="75"/>
            <w:col w:w="1672" w:space="100"/>
            <w:col w:w="2533" w:space="0"/>
          </w:cols>
        </w:sectPr>
        <w:rPr/>
      </w:pPr>
    </w:p>
    <w:p>
      <w:pPr>
        <w:spacing w:line="312" w:lineRule="auto"/>
        <w:rPr>
          <w:rFonts w:ascii="SimSun"/>
          <w:sz w:val="21"/>
        </w:rPr>
      </w:pPr>
      <w:r/>
    </w:p>
    <w:p>
      <w:pPr>
        <w:ind w:firstLine="857"/>
        <w:spacing w:before="64" w:line="191" w:lineRule="auto"/>
        <w:rPr>
          <w:rFonts w:ascii="Microsoft YaHei" w:hAnsi="Microsoft YaHei" w:eastAsia="Microsoft YaHei" w:cs="Microsoft YaHei"/>
          <w:sz w:val="15"/>
          <w:szCs w:val="15"/>
        </w:rPr>
      </w:pPr>
      <w:r>
        <w:rPr>
          <w:rFonts w:ascii="Microsoft YaHei" w:hAnsi="Microsoft YaHei" w:eastAsia="Microsoft YaHei" w:cs="Microsoft YaHei"/>
          <w:sz w:val="15"/>
          <w:szCs w:val="15"/>
          <w:color w:val="333333"/>
          <w:spacing w:val="-9"/>
        </w:rPr>
        <w:t>当前位置：</w:t>
      </w:r>
      <w:r>
        <w:rPr>
          <w:rFonts w:ascii="Microsoft YaHei" w:hAnsi="Microsoft YaHei" w:eastAsia="Microsoft YaHei" w:cs="Microsoft YaHei"/>
          <w:sz w:val="15"/>
          <w:szCs w:val="15"/>
          <w:color w:val="333333"/>
          <w:spacing w:val="9"/>
        </w:rPr>
        <w:t>  </w:t>
      </w:r>
      <w:hyperlink w:history="true" r:id="rId5">
        <w:r>
          <w:rPr>
            <w:rFonts w:ascii="Microsoft YaHei" w:hAnsi="Microsoft YaHei" w:eastAsia="Microsoft YaHei" w:cs="Microsoft YaHei"/>
            <w:sz w:val="15"/>
            <w:szCs w:val="15"/>
            <w:color w:val="333333"/>
            <w:spacing w:val="-9"/>
          </w:rPr>
          <w:t>首页</w:t>
        </w:r>
      </w:hyperlink>
      <w:r>
        <w:rPr>
          <w:rFonts w:ascii="Microsoft YaHei" w:hAnsi="Microsoft YaHei" w:eastAsia="Microsoft YaHei" w:cs="Microsoft YaHei"/>
          <w:sz w:val="15"/>
          <w:szCs w:val="15"/>
          <w:color w:val="333333"/>
          <w:spacing w:val="-9"/>
        </w:rPr>
        <w:t>&gt;</w:t>
      </w:r>
      <w:hyperlink w:history="true" r:id="rId6">
        <w:r>
          <w:rPr>
            <w:rFonts w:ascii="Microsoft YaHei" w:hAnsi="Microsoft YaHei" w:eastAsia="Microsoft YaHei" w:cs="Microsoft YaHei"/>
            <w:sz w:val="15"/>
            <w:szCs w:val="15"/>
            <w:color w:val="333333"/>
            <w:spacing w:val="-9"/>
          </w:rPr>
          <w:t>政策解读</w:t>
        </w:r>
      </w:hyperlink>
    </w:p>
    <w:p>
      <w:pPr>
        <w:spacing w:line="352" w:lineRule="auto"/>
        <w:rPr>
          <w:rFonts w:ascii="SimSun"/>
          <w:sz w:val="21"/>
        </w:rPr>
      </w:pPr>
      <w:r/>
    </w:p>
    <w:p>
      <w:pPr>
        <w:ind w:firstLine="3729"/>
        <w:spacing w:before="112" w:line="180" w:lineRule="auto"/>
        <w:rPr>
          <w:rFonts w:ascii="Microsoft YaHei" w:hAnsi="Microsoft YaHei" w:eastAsia="Microsoft YaHei" w:cs="Microsoft YaHei"/>
          <w:sz w:val="26"/>
          <w:szCs w:val="26"/>
        </w:rPr>
      </w:pPr>
      <w:r>
        <w:rPr>
          <w:rFonts w:ascii="Microsoft YaHei" w:hAnsi="Microsoft YaHei" w:eastAsia="Microsoft YaHei" w:cs="Microsoft YaHei"/>
          <w:sz w:val="26"/>
          <w:szCs w:val="26"/>
          <w:b/>
          <w:bCs/>
          <w:color w:val="333333"/>
          <w:spacing w:val="-3"/>
        </w:rPr>
        <w:t>加快会计数字化转型</w:t>
      </w:r>
      <w:r>
        <w:rPr>
          <w:rFonts w:ascii="Microsoft YaHei" w:hAnsi="Microsoft YaHei" w:eastAsia="Microsoft YaHei" w:cs="Microsoft YaHei"/>
          <w:sz w:val="26"/>
          <w:szCs w:val="26"/>
          <w:color w:val="333333"/>
          <w:spacing w:val="19"/>
          <w:w w:val="101"/>
        </w:rPr>
        <w:t> </w:t>
      </w:r>
      <w:r>
        <w:rPr>
          <w:rFonts w:ascii="Microsoft YaHei" w:hAnsi="Microsoft YaHei" w:eastAsia="Microsoft YaHei" w:cs="Microsoft YaHei"/>
          <w:sz w:val="26"/>
          <w:szCs w:val="26"/>
          <w:b/>
          <w:bCs/>
          <w:color w:val="333333"/>
          <w:spacing w:val="-3"/>
        </w:rPr>
        <w:t>支撑会计职能拓展</w:t>
      </w:r>
    </w:p>
    <w:p>
      <w:pPr>
        <w:ind w:firstLine="3896"/>
        <w:spacing w:before="148" w:line="180" w:lineRule="auto"/>
        <w:rPr>
          <w:rFonts w:ascii="Microsoft YaHei" w:hAnsi="Microsoft YaHei" w:eastAsia="Microsoft YaHei" w:cs="Microsoft YaHei"/>
          <w:sz w:val="26"/>
          <w:szCs w:val="26"/>
        </w:rPr>
      </w:pPr>
      <w:r>
        <w:rPr>
          <w:rFonts w:ascii="Microsoft YaHei" w:hAnsi="Microsoft YaHei" w:eastAsia="Microsoft YaHei" w:cs="Microsoft YaHei"/>
          <w:sz w:val="26"/>
          <w:szCs w:val="26"/>
          <w:b/>
          <w:bCs/>
          <w:color w:val="333333"/>
          <w:spacing w:val="-2"/>
        </w:rPr>
        <w:t>推动会计信息化工作向更高水平迈进</w:t>
      </w:r>
    </w:p>
    <w:p>
      <w:pPr>
        <w:ind w:firstLine="3708"/>
        <w:spacing w:before="223" w:line="180" w:lineRule="auto"/>
        <w:rPr>
          <w:rFonts w:ascii="Microsoft YaHei" w:hAnsi="Microsoft YaHei" w:eastAsia="Microsoft YaHei" w:cs="Microsoft YaHei"/>
          <w:sz w:val="17"/>
          <w:szCs w:val="17"/>
        </w:rPr>
      </w:pPr>
      <w:r>
        <w:rPr>
          <w:rFonts w:ascii="Microsoft YaHei" w:hAnsi="Microsoft YaHei" w:eastAsia="Microsoft YaHei" w:cs="Microsoft YaHei"/>
          <w:sz w:val="17"/>
          <w:szCs w:val="17"/>
          <w:b/>
          <w:bCs/>
          <w:color w:val="333333"/>
          <w:spacing w:val="2"/>
        </w:rPr>
        <w:t>——《会计改革与发展“十四五”规划纲要》系列解读之六</w:t>
      </w:r>
    </w:p>
    <w:p>
      <w:pPr>
        <w:rPr>
          <w:rFonts w:ascii="SimSun"/>
          <w:sz w:val="21"/>
        </w:rPr>
      </w:pPr>
      <w:r/>
    </w:p>
    <w:p>
      <w:pPr>
        <w:ind w:firstLine="4763"/>
        <w:spacing w:before="56" w:line="187" w:lineRule="auto"/>
        <w:rPr>
          <w:rFonts w:ascii="SimSun" w:hAnsi="SimSun" w:eastAsia="SimSun" w:cs="SimSun"/>
          <w:sz w:val="17"/>
          <w:szCs w:val="17"/>
        </w:rPr>
      </w:pPr>
      <w:r>
        <w:rPr>
          <w:rFonts w:ascii="SimSun" w:hAnsi="SimSun" w:eastAsia="SimSun" w:cs="SimSun"/>
          <w:sz w:val="17"/>
          <w:szCs w:val="17"/>
          <w:color w:val="333333"/>
        </w:rPr>
        <w:t>2022年2月11日</w:t>
      </w:r>
      <w:r>
        <w:rPr>
          <w:rFonts w:ascii="SimSun" w:hAnsi="SimSun" w:eastAsia="SimSun" w:cs="SimSun"/>
          <w:sz w:val="17"/>
          <w:szCs w:val="17"/>
          <w:color w:val="333333"/>
          <w:spacing w:val="7"/>
        </w:rPr>
        <w:t>   </w:t>
      </w:r>
      <w:r>
        <w:rPr>
          <w:rFonts w:ascii="SimSun" w:hAnsi="SimSun" w:eastAsia="SimSun" w:cs="SimSun"/>
          <w:sz w:val="17"/>
          <w:szCs w:val="17"/>
          <w:color w:val="333333"/>
        </w:rPr>
        <w:t>来源：会计司</w:t>
      </w:r>
    </w:p>
    <w:p>
      <w:pPr>
        <w:ind w:left="1044" w:right="1048" w:firstLine="441"/>
        <w:spacing w:before="238" w:line="327" w:lineRule="auto"/>
        <w:rPr>
          <w:rFonts w:ascii="SimSun" w:hAnsi="SimSun" w:eastAsia="SimSun" w:cs="SimSun"/>
          <w:sz w:val="17"/>
          <w:szCs w:val="17"/>
        </w:rPr>
      </w:pPr>
      <w:r>
        <w:rPr>
          <w:rFonts w:ascii="SimSun" w:hAnsi="SimSun" w:eastAsia="SimSun" w:cs="SimSun"/>
          <w:sz w:val="17"/>
          <w:szCs w:val="17"/>
          <w:color w:val="333333"/>
          <w:spacing w:val="1"/>
        </w:rPr>
        <w:t>当前，新一轮科技革命和产业变革深入发展，数字化转型已经成为大势所趋。《中华人民共和国国民经济和社会发展第十四</w:t>
      </w:r>
      <w:r>
        <w:rPr>
          <w:rFonts w:ascii="SimSun" w:hAnsi="SimSun" w:eastAsia="SimSun" w:cs="SimSun"/>
          <w:sz w:val="17"/>
          <w:szCs w:val="17"/>
          <w:color w:val="333333"/>
          <w:spacing w:val="22"/>
          <w:w w:val="101"/>
        </w:rPr>
        <w:t>  </w:t>
      </w:r>
      <w:r>
        <w:rPr>
          <w:rFonts w:ascii="SimSun" w:hAnsi="SimSun" w:eastAsia="SimSun" w:cs="SimSun"/>
          <w:sz w:val="17"/>
          <w:szCs w:val="17"/>
          <w:color w:val="333333"/>
          <w:spacing w:val="1"/>
        </w:rPr>
        <w:t>个五年规划和2035年远景目标纲要》提出，加快数字化发展，建设数字经济、数字社会、数字政府，营造良好数字生态，打造数字</w:t>
      </w:r>
      <w:r>
        <w:rPr>
          <w:rFonts w:ascii="SimSun" w:hAnsi="SimSun" w:eastAsia="SimSun" w:cs="SimSun"/>
          <w:sz w:val="17"/>
          <w:szCs w:val="17"/>
          <w:color w:val="333333"/>
          <w:spacing w:val="57"/>
        </w:rPr>
        <w:t> </w:t>
      </w:r>
      <w:r>
        <w:rPr>
          <w:rFonts w:ascii="SimSun" w:hAnsi="SimSun" w:eastAsia="SimSun" w:cs="SimSun"/>
          <w:sz w:val="17"/>
          <w:szCs w:val="17"/>
          <w:color w:val="333333"/>
          <w:spacing w:val="2"/>
        </w:rPr>
        <w:t>中国。国务院印发的《“十四五”数字经济发展规划》，就不断做强做优做大我国数字经济提出具体举措。数字时代对会计数字化</w:t>
      </w:r>
      <w:r>
        <w:rPr>
          <w:rFonts w:ascii="SimSun" w:hAnsi="SimSun" w:eastAsia="SimSun" w:cs="SimSun"/>
          <w:sz w:val="17"/>
          <w:szCs w:val="17"/>
          <w:color w:val="333333"/>
          <w:spacing w:val="2"/>
        </w:rPr>
        <w:t> </w:t>
      </w:r>
      <w:r>
        <w:rPr>
          <w:rFonts w:ascii="SimSun" w:hAnsi="SimSun" w:eastAsia="SimSun" w:cs="SimSun"/>
          <w:sz w:val="17"/>
          <w:szCs w:val="17"/>
          <w:color w:val="333333"/>
          <w:spacing w:val="2"/>
        </w:rPr>
        <w:t>转型提出了必然要求。加快推进会计数字化转型，一方面是贯彻落实国家信息化发展战略、推动数字经济和实体经济深度融合、建</w:t>
      </w:r>
      <w:r>
        <w:rPr>
          <w:rFonts w:ascii="SimSun" w:hAnsi="SimSun" w:eastAsia="SimSun" w:cs="SimSun"/>
          <w:sz w:val="17"/>
          <w:szCs w:val="17"/>
          <w:color w:val="333333"/>
          <w:spacing w:val="2"/>
        </w:rPr>
        <w:t> </w:t>
      </w:r>
      <w:r>
        <w:rPr>
          <w:rFonts w:ascii="SimSun" w:hAnsi="SimSun" w:eastAsia="SimSun" w:cs="SimSun"/>
          <w:sz w:val="17"/>
          <w:szCs w:val="17"/>
          <w:color w:val="333333"/>
          <w:spacing w:val="1"/>
        </w:rPr>
        <w:t>设数字中国的必然选择；另一方面对于推动会计职能拓展、提升我国会计工作水平和会计信息化水平具有重要意义。</w:t>
      </w:r>
    </w:p>
    <w:p>
      <w:pPr>
        <w:ind w:left="1044" w:right="1016" w:firstLine="345"/>
        <w:spacing w:before="109" w:line="327" w:lineRule="auto"/>
        <w:rPr>
          <w:rFonts w:ascii="SimSun" w:hAnsi="SimSun" w:eastAsia="SimSun" w:cs="SimSun"/>
          <w:sz w:val="17"/>
          <w:szCs w:val="17"/>
        </w:rPr>
      </w:pPr>
      <w:r>
        <w:rPr>
          <w:rFonts w:ascii="SimSun" w:hAnsi="SimSun" w:eastAsia="SimSun" w:cs="SimSun"/>
          <w:sz w:val="17"/>
          <w:szCs w:val="17"/>
          <w:color w:val="333333"/>
          <w:spacing w:val="2"/>
        </w:rPr>
        <w:t>财政部按照党中央、国务院决策部署，立足中国国情，坚持问题导向，加强对我国会计信息化工作的顶层设计。2021年11月，</w:t>
      </w:r>
      <w:r>
        <w:rPr>
          <w:rFonts w:ascii="SimSun" w:hAnsi="SimSun" w:eastAsia="SimSun" w:cs="SimSun"/>
          <w:sz w:val="17"/>
          <w:szCs w:val="17"/>
          <w:color w:val="333333"/>
          <w:spacing w:val="26"/>
        </w:rPr>
        <w:t> </w:t>
      </w:r>
      <w:r>
        <w:rPr>
          <w:rFonts w:ascii="SimSun" w:hAnsi="SimSun" w:eastAsia="SimSun" w:cs="SimSun"/>
          <w:sz w:val="17"/>
          <w:szCs w:val="17"/>
          <w:color w:val="333333"/>
          <w:spacing w:val="-1"/>
        </w:rPr>
        <w:t>财政部印发《会计改革与发展“十四五”规划纲要》</w:t>
      </w:r>
      <w:r>
        <w:rPr>
          <w:rFonts w:ascii="SimSun" w:hAnsi="SimSun" w:eastAsia="SimSun" w:cs="SimSun"/>
          <w:sz w:val="17"/>
          <w:szCs w:val="17"/>
          <w:color w:val="333333"/>
          <w:spacing w:val="17"/>
        </w:rPr>
        <w:t> </w:t>
      </w:r>
      <w:r>
        <w:rPr>
          <w:rFonts w:ascii="SimSun" w:hAnsi="SimSun" w:eastAsia="SimSun" w:cs="SimSun"/>
          <w:sz w:val="17"/>
          <w:szCs w:val="17"/>
          <w:color w:val="333333"/>
          <w:spacing w:val="-1"/>
        </w:rPr>
        <w:t>（以下简称《规划纲要》</w:t>
      </w:r>
      <w:r>
        <w:rPr>
          <w:rFonts w:ascii="SimSun" w:hAnsi="SimSun" w:eastAsia="SimSun" w:cs="SimSun"/>
          <w:sz w:val="17"/>
          <w:szCs w:val="17"/>
          <w:color w:val="333333"/>
          <w:spacing w:val="17"/>
          <w:w w:val="101"/>
        </w:rPr>
        <w:t> </w:t>
      </w:r>
      <w:r>
        <w:rPr>
          <w:rFonts w:ascii="SimSun" w:hAnsi="SimSun" w:eastAsia="SimSun" w:cs="SimSun"/>
          <w:sz w:val="17"/>
          <w:szCs w:val="17"/>
          <w:color w:val="333333"/>
          <w:spacing w:val="-1"/>
        </w:rPr>
        <w:t>）提出了“以数字化技术为支撑，以会计审计工作数</w:t>
      </w:r>
      <w:r>
        <w:rPr>
          <w:rFonts w:ascii="SimSun" w:hAnsi="SimSun" w:eastAsia="SimSun" w:cs="SimSun"/>
          <w:sz w:val="17"/>
          <w:szCs w:val="17"/>
          <w:color w:val="333333"/>
        </w:rPr>
        <w:t> </w:t>
      </w:r>
      <w:r>
        <w:rPr>
          <w:rFonts w:ascii="SimSun" w:hAnsi="SimSun" w:eastAsia="SimSun" w:cs="SimSun"/>
          <w:sz w:val="17"/>
          <w:szCs w:val="17"/>
          <w:color w:val="333333"/>
          <w:spacing w:val="5"/>
        </w:rPr>
        <w:t>字化转型为抓手，推动会计职能实现拓展升级”的总体目标和“切实加快会计审计数字化转型步伐”的主要任务。按照《规划纲</w:t>
      </w:r>
      <w:r>
        <w:rPr>
          <w:rFonts w:ascii="SimSun" w:hAnsi="SimSun" w:eastAsia="SimSun" w:cs="SimSun"/>
          <w:sz w:val="17"/>
          <w:szCs w:val="17"/>
          <w:color w:val="333333"/>
          <w:spacing w:val="37"/>
          <w:w w:val="101"/>
        </w:rPr>
        <w:t> </w:t>
      </w:r>
      <w:r>
        <w:rPr>
          <w:rFonts w:ascii="SimSun" w:hAnsi="SimSun" w:eastAsia="SimSun" w:cs="SimSun"/>
          <w:sz w:val="17"/>
          <w:szCs w:val="17"/>
          <w:color w:val="333333"/>
          <w:spacing w:val="-2"/>
        </w:rPr>
        <w:t>要》</w:t>
      </w:r>
      <w:r>
        <w:rPr>
          <w:rFonts w:ascii="SimSun" w:hAnsi="SimSun" w:eastAsia="SimSun" w:cs="SimSun"/>
          <w:sz w:val="17"/>
          <w:szCs w:val="17"/>
          <w:color w:val="333333"/>
          <w:spacing w:val="27"/>
        </w:rPr>
        <w:t> </w:t>
      </w:r>
      <w:r>
        <w:rPr>
          <w:rFonts w:ascii="SimSun" w:hAnsi="SimSun" w:eastAsia="SimSun" w:cs="SimSun"/>
          <w:sz w:val="17"/>
          <w:szCs w:val="17"/>
          <w:color w:val="333333"/>
          <w:spacing w:val="-2"/>
        </w:rPr>
        <w:t>的总体部署，2021年12月，财政部印发了《会计信息化发展规划（2021-2025年）</w:t>
      </w:r>
      <w:r>
        <w:rPr>
          <w:rFonts w:ascii="SimSun" w:hAnsi="SimSun" w:eastAsia="SimSun" w:cs="SimSun"/>
          <w:sz w:val="17"/>
          <w:szCs w:val="17"/>
          <w:color w:val="333333"/>
          <w:spacing w:val="7"/>
        </w:rPr>
        <w:t> </w:t>
      </w:r>
      <w:r>
        <w:rPr>
          <w:rFonts w:ascii="SimSun" w:hAnsi="SimSun" w:eastAsia="SimSun" w:cs="SimSun"/>
          <w:sz w:val="17"/>
          <w:szCs w:val="17"/>
          <w:color w:val="333333"/>
          <w:spacing w:val="-2"/>
        </w:rPr>
        <w:t>》</w:t>
      </w:r>
      <w:r>
        <w:rPr>
          <w:rFonts w:ascii="SimSun" w:hAnsi="SimSun" w:eastAsia="SimSun" w:cs="SimSun"/>
          <w:sz w:val="17"/>
          <w:szCs w:val="17"/>
          <w:color w:val="333333"/>
          <w:spacing w:val="-81"/>
        </w:rPr>
        <w:t> </w:t>
      </w:r>
      <w:r>
        <w:rPr>
          <w:rFonts w:ascii="SimSun" w:hAnsi="SimSun" w:eastAsia="SimSun" w:cs="SimSun"/>
          <w:sz w:val="17"/>
          <w:szCs w:val="17"/>
          <w:color w:val="333333"/>
          <w:spacing w:val="-2"/>
        </w:rPr>
        <w:t>（以下简称《信息化规划》</w:t>
      </w:r>
      <w:r>
        <w:rPr>
          <w:rFonts w:ascii="SimSun" w:hAnsi="SimSun" w:eastAsia="SimSun" w:cs="SimSun"/>
          <w:sz w:val="17"/>
          <w:szCs w:val="17"/>
          <w:color w:val="333333"/>
          <w:spacing w:val="19"/>
          <w:w w:val="101"/>
        </w:rPr>
        <w:t> </w:t>
      </w:r>
      <w:r>
        <w:rPr>
          <w:rFonts w:ascii="SimSun" w:hAnsi="SimSun" w:eastAsia="SimSun" w:cs="SimSun"/>
          <w:sz w:val="17"/>
          <w:szCs w:val="17"/>
          <w:color w:val="333333"/>
          <w:spacing w:val="22"/>
        </w:rPr>
        <w:t>），</w:t>
      </w:r>
      <w:r>
        <w:rPr>
          <w:rFonts w:ascii="SimSun" w:hAnsi="SimSun" w:eastAsia="SimSun" w:cs="SimSun"/>
          <w:sz w:val="17"/>
          <w:szCs w:val="17"/>
          <w:color w:val="333333"/>
          <w:spacing w:val="-2"/>
        </w:rPr>
        <w:t>提出了符</w:t>
      </w:r>
      <w:r>
        <w:rPr>
          <w:rFonts w:ascii="SimSun" w:hAnsi="SimSun" w:eastAsia="SimSun" w:cs="SimSun"/>
          <w:sz w:val="17"/>
          <w:szCs w:val="17"/>
          <w:color w:val="333333"/>
        </w:rPr>
        <w:t> </w:t>
      </w:r>
      <w:r>
        <w:rPr>
          <w:rFonts w:ascii="SimSun" w:hAnsi="SimSun" w:eastAsia="SimSun" w:cs="SimSun"/>
          <w:sz w:val="17"/>
          <w:szCs w:val="17"/>
          <w:color w:val="333333"/>
          <w:spacing w:val="2"/>
        </w:rPr>
        <w:t>合新时代要求的国家会计信息化发展体系，明确了“十四五”时期会计信息化工作的6个具体目标和9项主要任务，是做好当前和今</w:t>
      </w:r>
      <w:r>
        <w:rPr>
          <w:rFonts w:ascii="SimSun" w:hAnsi="SimSun" w:eastAsia="SimSun" w:cs="SimSun"/>
          <w:sz w:val="17"/>
          <w:szCs w:val="17"/>
          <w:color w:val="333333"/>
          <w:spacing w:val="31"/>
          <w:w w:val="101"/>
        </w:rPr>
        <w:t> </w:t>
      </w:r>
      <w:r>
        <w:rPr>
          <w:rFonts w:ascii="SimSun" w:hAnsi="SimSun" w:eastAsia="SimSun" w:cs="SimSun"/>
          <w:sz w:val="17"/>
          <w:szCs w:val="17"/>
          <w:color w:val="333333"/>
        </w:rPr>
        <w:t>后一段时期会计信息化工作的具体行动指引。</w:t>
      </w:r>
    </w:p>
    <w:p>
      <w:pPr>
        <w:ind w:firstLine="1391"/>
        <w:spacing w:before="107" w:line="187" w:lineRule="auto"/>
        <w:rPr>
          <w:rFonts w:ascii="SimSun" w:hAnsi="SimSun" w:eastAsia="SimSun" w:cs="SimSun"/>
          <w:sz w:val="17"/>
          <w:szCs w:val="17"/>
        </w:rPr>
      </w:pPr>
      <w:r>
        <w:rPr>
          <w:rFonts w:ascii="SimSun" w:hAnsi="SimSun" w:eastAsia="SimSun" w:cs="SimSun"/>
          <w:sz w:val="17"/>
          <w:szCs w:val="17"/>
          <w:color w:val="333333"/>
          <w:spacing w:val="10"/>
        </w:rPr>
        <w:t>一、</w:t>
      </w:r>
      <w:r>
        <w:rPr>
          <w:rFonts w:ascii="SimSun" w:hAnsi="SimSun" w:eastAsia="SimSun" w:cs="SimSun"/>
          <w:sz w:val="17"/>
          <w:szCs w:val="17"/>
          <w:color w:val="333333"/>
          <w:spacing w:val="-53"/>
        </w:rPr>
        <w:t> </w:t>
      </w:r>
      <w:r>
        <w:rPr>
          <w:rFonts w:ascii="SimSun" w:hAnsi="SimSun" w:eastAsia="SimSun" w:cs="SimSun"/>
          <w:sz w:val="17"/>
          <w:szCs w:val="17"/>
          <w:color w:val="333333"/>
          <w:spacing w:val="10"/>
        </w:rPr>
        <w:t>“十三五”时期会计信息化工作回顾</w:t>
      </w:r>
    </w:p>
    <w:p>
      <w:pPr>
        <w:ind w:left="1044" w:right="1016" w:firstLine="334"/>
        <w:spacing w:before="237" w:line="327" w:lineRule="auto"/>
        <w:rPr>
          <w:rFonts w:ascii="SimSun" w:hAnsi="SimSun" w:eastAsia="SimSun" w:cs="SimSun"/>
          <w:sz w:val="17"/>
          <w:szCs w:val="17"/>
        </w:rPr>
      </w:pPr>
      <w:r>
        <w:rPr>
          <w:rFonts w:ascii="SimSun" w:hAnsi="SimSun" w:eastAsia="SimSun" w:cs="SimSun"/>
          <w:sz w:val="17"/>
          <w:szCs w:val="17"/>
          <w:color w:val="333333"/>
          <w:spacing w:val="2"/>
        </w:rPr>
        <w:t>“十三五”期间，财政部以创新引领会计信息化，助力会计工作转型升级为目标，有序推进各项会计信息化工作，建立健全会</w:t>
      </w:r>
      <w:r>
        <w:rPr>
          <w:rFonts w:ascii="SimSun" w:hAnsi="SimSun" w:eastAsia="SimSun" w:cs="SimSun"/>
          <w:sz w:val="17"/>
          <w:szCs w:val="17"/>
          <w:color w:val="333333"/>
          <w:spacing w:val="44"/>
        </w:rPr>
        <w:t> </w:t>
      </w:r>
      <w:r>
        <w:rPr>
          <w:rFonts w:ascii="SimSun" w:hAnsi="SimSun" w:eastAsia="SimSun" w:cs="SimSun"/>
          <w:sz w:val="17"/>
          <w:szCs w:val="17"/>
          <w:color w:val="333333"/>
        </w:rPr>
        <w:t>计信息化工作制度体系并推动其有效实施，取得积极成效。</w:t>
      </w:r>
    </w:p>
    <w:p>
      <w:pPr>
        <w:ind w:firstLine="1394"/>
        <w:spacing w:before="108" w:line="187" w:lineRule="auto"/>
        <w:rPr>
          <w:rFonts w:ascii="SimSun" w:hAnsi="SimSun" w:eastAsia="SimSun" w:cs="SimSun"/>
          <w:sz w:val="17"/>
          <w:szCs w:val="17"/>
        </w:rPr>
      </w:pPr>
      <w:r>
        <w:rPr>
          <w:rFonts w:ascii="SimSun" w:hAnsi="SimSun" w:eastAsia="SimSun" w:cs="SimSun"/>
          <w:sz w:val="17"/>
          <w:szCs w:val="17"/>
          <w:color w:val="333333"/>
        </w:rPr>
        <w:t>（一）积极推动企事业单位会计信息化工作转型升级。</w:t>
      </w:r>
    </w:p>
    <w:p>
      <w:pPr>
        <w:ind w:left="1044" w:right="1016" w:firstLine="347"/>
        <w:spacing w:before="237" w:line="327" w:lineRule="auto"/>
        <w:rPr>
          <w:rFonts w:ascii="SimSun" w:hAnsi="SimSun" w:eastAsia="SimSun" w:cs="SimSun"/>
          <w:sz w:val="17"/>
          <w:szCs w:val="17"/>
        </w:rPr>
      </w:pPr>
      <w:r>
        <w:rPr>
          <w:rFonts w:ascii="SimSun" w:hAnsi="SimSun" w:eastAsia="SimSun" w:cs="SimSun"/>
          <w:sz w:val="17"/>
          <w:szCs w:val="17"/>
          <w:color w:val="333333"/>
          <w:spacing w:val="2"/>
        </w:rPr>
        <w:t>部分单位已开展会计工作的集中处理，通过共享服务等多种模式，建立会计信息资源共享机制，进一步促进单位会计核算、会</w:t>
      </w:r>
      <w:r>
        <w:rPr>
          <w:rFonts w:ascii="SimSun" w:hAnsi="SimSun" w:eastAsia="SimSun" w:cs="SimSun"/>
          <w:sz w:val="17"/>
          <w:szCs w:val="17"/>
          <w:color w:val="333333"/>
          <w:spacing w:val="31"/>
        </w:rPr>
        <w:t> </w:t>
      </w:r>
      <w:r>
        <w:rPr>
          <w:rFonts w:ascii="SimSun" w:hAnsi="SimSun" w:eastAsia="SimSun" w:cs="SimSun"/>
          <w:sz w:val="17"/>
          <w:szCs w:val="17"/>
          <w:color w:val="333333"/>
          <w:spacing w:val="2"/>
        </w:rPr>
        <w:t>计报告，以及管理会计、内部控制等会计工作的职责分工，推动会计工作从传统核算型向现代管理型转变，为会计工作转型提供了</w:t>
      </w:r>
      <w:r>
        <w:rPr>
          <w:rFonts w:ascii="SimSun" w:hAnsi="SimSun" w:eastAsia="SimSun" w:cs="SimSun"/>
          <w:sz w:val="17"/>
          <w:szCs w:val="17"/>
          <w:color w:val="333333"/>
          <w:spacing w:val="34"/>
        </w:rPr>
        <w:t> </w:t>
      </w:r>
      <w:r>
        <w:rPr>
          <w:rFonts w:ascii="SimSun" w:hAnsi="SimSun" w:eastAsia="SimSun" w:cs="SimSun"/>
          <w:sz w:val="17"/>
          <w:szCs w:val="17"/>
          <w:color w:val="333333"/>
          <w:spacing w:val="-4"/>
        </w:rPr>
        <w:t>坚实基础。</w:t>
      </w:r>
    </w:p>
    <w:p>
      <w:pPr>
        <w:ind w:firstLine="1394"/>
        <w:spacing w:before="107" w:line="187" w:lineRule="auto"/>
        <w:rPr>
          <w:rFonts w:ascii="SimSun" w:hAnsi="SimSun" w:eastAsia="SimSun" w:cs="SimSun"/>
          <w:sz w:val="17"/>
          <w:szCs w:val="17"/>
        </w:rPr>
      </w:pPr>
      <w:r>
        <w:rPr>
          <w:rFonts w:ascii="SimSun" w:hAnsi="SimSun" w:eastAsia="SimSun" w:cs="SimSun"/>
          <w:sz w:val="17"/>
          <w:szCs w:val="17"/>
          <w:color w:val="333333"/>
        </w:rPr>
        <w:t>（二）推动企事业单位会计信息系统与业务系统的有机融合。</w:t>
      </w:r>
    </w:p>
    <w:p>
      <w:pPr>
        <w:ind w:left="1043" w:right="1016" w:firstLine="350"/>
        <w:spacing w:before="238" w:line="327" w:lineRule="auto"/>
        <w:rPr>
          <w:rFonts w:ascii="SimSun" w:hAnsi="SimSun" w:eastAsia="SimSun" w:cs="SimSun"/>
          <w:sz w:val="17"/>
          <w:szCs w:val="17"/>
        </w:rPr>
      </w:pPr>
      <w:r>
        <w:rPr>
          <w:rFonts w:ascii="SimSun" w:hAnsi="SimSun" w:eastAsia="SimSun" w:cs="SimSun"/>
          <w:sz w:val="17"/>
          <w:szCs w:val="17"/>
          <w:color w:val="333333"/>
          <w:spacing w:val="2"/>
        </w:rPr>
        <w:t>我国企事业单位会计信息化经历了传统财务软件、企业资源计划（ERP）</w:t>
      </w:r>
      <w:r>
        <w:rPr>
          <w:rFonts w:ascii="SimSun" w:hAnsi="SimSun" w:eastAsia="SimSun" w:cs="SimSun"/>
          <w:sz w:val="17"/>
          <w:szCs w:val="17"/>
          <w:color w:val="333333"/>
          <w:spacing w:val="26"/>
        </w:rPr>
        <w:t> </w:t>
      </w:r>
      <w:r>
        <w:rPr>
          <w:rFonts w:ascii="SimSun" w:hAnsi="SimSun" w:eastAsia="SimSun" w:cs="SimSun"/>
          <w:sz w:val="17"/>
          <w:szCs w:val="17"/>
          <w:color w:val="333333"/>
          <w:spacing w:val="2"/>
        </w:rPr>
        <w:t>、以数据为核心的数据治理系统等阶段。传统财务软</w:t>
      </w:r>
      <w:r>
        <w:rPr>
          <w:rFonts w:ascii="SimSun" w:hAnsi="SimSun" w:eastAsia="SimSun" w:cs="SimSun"/>
          <w:sz w:val="17"/>
          <w:szCs w:val="17"/>
          <w:color w:val="333333"/>
        </w:rPr>
        <w:t> </w:t>
      </w:r>
      <w:r>
        <w:rPr>
          <w:rFonts w:ascii="SimSun" w:hAnsi="SimSun" w:eastAsia="SimSun" w:cs="SimSun"/>
          <w:sz w:val="17"/>
          <w:szCs w:val="17"/>
          <w:color w:val="333333"/>
          <w:spacing w:val="4"/>
        </w:rPr>
        <w:t>件的广泛普及，夯实了企事业单位全面反映会计核算工作的能力；ERP在企事业单位的逐步普及，更加精准反映会计核算等会计信</w:t>
      </w:r>
      <w:r>
        <w:rPr>
          <w:rFonts w:ascii="SimSun" w:hAnsi="SimSun" w:eastAsia="SimSun" w:cs="SimSun"/>
          <w:sz w:val="17"/>
          <w:szCs w:val="17"/>
          <w:color w:val="333333"/>
          <w:spacing w:val="2"/>
        </w:rPr>
        <w:t> </w:t>
      </w:r>
      <w:r>
        <w:rPr>
          <w:rFonts w:ascii="SimSun" w:hAnsi="SimSun" w:eastAsia="SimSun" w:cs="SimSun"/>
          <w:sz w:val="17"/>
          <w:szCs w:val="17"/>
          <w:color w:val="333333"/>
        </w:rPr>
        <w:t>息系统与采购、销售、库存等业务系统的有机融合；</w:t>
      </w:r>
      <w:r>
        <w:rPr>
          <w:rFonts w:ascii="SimSun" w:hAnsi="SimSun" w:eastAsia="SimSun" w:cs="SimSun"/>
          <w:sz w:val="17"/>
          <w:szCs w:val="17"/>
          <w:color w:val="333333"/>
          <w:spacing w:val="64"/>
        </w:rPr>
        <w:t> </w:t>
      </w:r>
      <w:r>
        <w:rPr>
          <w:rFonts w:ascii="SimSun" w:hAnsi="SimSun" w:eastAsia="SimSun" w:cs="SimSun"/>
          <w:sz w:val="17"/>
          <w:szCs w:val="17"/>
          <w:color w:val="333333"/>
        </w:rPr>
        <w:t>部分大型企事业单位尝试积极以自描述结构化数据为基础，提升内部管理信息</w:t>
      </w:r>
      <w:r>
        <w:rPr>
          <w:rFonts w:ascii="SimSun" w:hAnsi="SimSun" w:eastAsia="SimSun" w:cs="SimSun"/>
          <w:sz w:val="17"/>
          <w:szCs w:val="17"/>
          <w:color w:val="333333"/>
        </w:rPr>
        <w:t> </w:t>
      </w:r>
      <w:r>
        <w:rPr>
          <w:rFonts w:ascii="SimSun" w:hAnsi="SimSun" w:eastAsia="SimSun" w:cs="SimSun"/>
          <w:sz w:val="17"/>
          <w:szCs w:val="17"/>
          <w:color w:val="333333"/>
          <w:spacing w:val="2"/>
        </w:rPr>
        <w:t>标准化，进一步促进了会计信息系统与业务系统的全面融合，提升了企事业单位的服务管理效能和经营管理水平，实现资源共享、</w:t>
      </w:r>
      <w:r>
        <w:rPr>
          <w:rFonts w:ascii="SimSun" w:hAnsi="SimSun" w:eastAsia="SimSun" w:cs="SimSun"/>
          <w:sz w:val="17"/>
          <w:szCs w:val="17"/>
          <w:color w:val="333333"/>
          <w:spacing w:val="35"/>
        </w:rPr>
        <w:t> </w:t>
      </w:r>
      <w:r>
        <w:rPr>
          <w:rFonts w:ascii="SimSun" w:hAnsi="SimSun" w:eastAsia="SimSun" w:cs="SimSun"/>
          <w:sz w:val="17"/>
          <w:szCs w:val="17"/>
          <w:color w:val="333333"/>
          <w:spacing w:val="-4"/>
        </w:rPr>
        <w:t>互联互通。</w:t>
      </w:r>
    </w:p>
    <w:p>
      <w:pPr>
        <w:ind w:firstLine="1394"/>
        <w:spacing w:before="107" w:line="187" w:lineRule="auto"/>
        <w:rPr>
          <w:rFonts w:ascii="SimSun" w:hAnsi="SimSun" w:eastAsia="SimSun" w:cs="SimSun"/>
          <w:sz w:val="17"/>
          <w:szCs w:val="17"/>
        </w:rPr>
      </w:pPr>
      <w:r>
        <w:rPr>
          <w:rFonts w:ascii="SimSun" w:hAnsi="SimSun" w:eastAsia="SimSun" w:cs="SimSun"/>
          <w:sz w:val="17"/>
          <w:szCs w:val="17"/>
          <w:color w:val="333333"/>
        </w:rPr>
        <w:t>（三）新一代信息技术推动了会计工作的创新发展。</w:t>
      </w:r>
    </w:p>
    <w:p>
      <w:pPr>
        <w:ind w:left="1045" w:right="1016" w:firstLine="346"/>
        <w:spacing w:before="238" w:line="327" w:lineRule="auto"/>
        <w:rPr>
          <w:rFonts w:ascii="SimSun" w:hAnsi="SimSun" w:eastAsia="SimSun" w:cs="SimSun"/>
          <w:sz w:val="17"/>
          <w:szCs w:val="17"/>
        </w:rPr>
      </w:pPr>
      <w:r>
        <w:rPr>
          <w:rFonts w:ascii="SimSun" w:hAnsi="SimSun" w:eastAsia="SimSun" w:cs="SimSun"/>
          <w:sz w:val="17"/>
          <w:szCs w:val="17"/>
          <w:color w:val="333333"/>
          <w:spacing w:val="2"/>
        </w:rPr>
        <w:t>大数据、人工智能、移动互联、云计算、物联网、区块链等新技术在会计工作中得到初步应用。各企事业单位开始积极使用财</w:t>
      </w:r>
      <w:r>
        <w:rPr>
          <w:rFonts w:ascii="SimSun" w:hAnsi="SimSun" w:eastAsia="SimSun" w:cs="SimSun"/>
          <w:sz w:val="17"/>
          <w:szCs w:val="17"/>
          <w:color w:val="333333"/>
          <w:spacing w:val="31"/>
        </w:rPr>
        <w:t> </w:t>
      </w:r>
      <w:r>
        <w:rPr>
          <w:rFonts w:ascii="SimSun" w:hAnsi="SimSun" w:eastAsia="SimSun" w:cs="SimSun"/>
          <w:sz w:val="17"/>
          <w:szCs w:val="17"/>
          <w:color w:val="333333"/>
        </w:rPr>
        <w:t>务机器人处理会计核算、费用报销、会计报告、资金结算等会计工作；</w:t>
      </w:r>
      <w:r>
        <w:rPr>
          <w:rFonts w:ascii="SimSun" w:hAnsi="SimSun" w:eastAsia="SimSun" w:cs="SimSun"/>
          <w:sz w:val="17"/>
          <w:szCs w:val="17"/>
          <w:color w:val="333333"/>
          <w:spacing w:val="62"/>
        </w:rPr>
        <w:t> </w:t>
      </w:r>
      <w:r>
        <w:rPr>
          <w:rFonts w:ascii="SimSun" w:hAnsi="SimSun" w:eastAsia="SimSun" w:cs="SimSun"/>
          <w:sz w:val="17"/>
          <w:szCs w:val="17"/>
          <w:color w:val="333333"/>
        </w:rPr>
        <w:t>部分企事业单位已开始探索推动财务会计工作的智能化，提</w:t>
      </w:r>
      <w:r>
        <w:rPr>
          <w:rFonts w:ascii="SimSun" w:hAnsi="SimSun" w:eastAsia="SimSun" w:cs="SimSun"/>
          <w:sz w:val="17"/>
          <w:szCs w:val="17"/>
          <w:color w:val="333333"/>
        </w:rPr>
        <w:t> </w:t>
      </w:r>
      <w:r>
        <w:rPr>
          <w:rFonts w:ascii="SimSun" w:hAnsi="SimSun" w:eastAsia="SimSun" w:cs="SimSun"/>
          <w:sz w:val="17"/>
          <w:szCs w:val="17"/>
          <w:color w:val="333333"/>
          <w:spacing w:val="1"/>
        </w:rPr>
        <w:t>升了会计核算、会计报告、管理会计、内部控制等会计工作的效率。</w:t>
      </w:r>
    </w:p>
    <w:p>
      <w:pPr>
        <w:ind w:firstLine="1394"/>
        <w:spacing w:before="107" w:line="187" w:lineRule="auto"/>
        <w:rPr>
          <w:rFonts w:ascii="SimSun" w:hAnsi="SimSun" w:eastAsia="SimSun" w:cs="SimSun"/>
          <w:sz w:val="17"/>
          <w:szCs w:val="17"/>
        </w:rPr>
      </w:pPr>
      <w:r>
        <w:rPr>
          <w:rFonts w:ascii="SimSun" w:hAnsi="SimSun" w:eastAsia="SimSun" w:cs="SimSun"/>
          <w:sz w:val="17"/>
          <w:szCs w:val="17"/>
          <w:color w:val="333333"/>
          <w:spacing w:val="-1"/>
        </w:rPr>
        <w:t>（四）深化会计资料无纸化应用实践。</w:t>
      </w:r>
    </w:p>
    <w:p>
      <w:pPr>
        <w:ind w:left="1044" w:right="1016" w:firstLine="345"/>
        <w:spacing w:before="238" w:line="327" w:lineRule="auto"/>
        <w:rPr>
          <w:rFonts w:ascii="SimSun" w:hAnsi="SimSun" w:eastAsia="SimSun" w:cs="SimSun"/>
          <w:sz w:val="17"/>
          <w:szCs w:val="17"/>
        </w:rPr>
      </w:pPr>
      <w:r>
        <w:rPr>
          <w:rFonts w:ascii="SimSun" w:hAnsi="SimSun" w:eastAsia="SimSun" w:cs="SimSun"/>
          <w:sz w:val="17"/>
          <w:szCs w:val="17"/>
          <w:color w:val="333333"/>
        </w:rPr>
        <w:t>有效实施企业会计准则通用分类标准，推动监管部门在监管领域制定和实施监管扩展分类标准。修订《会计档案管理办法》</w:t>
      </w:r>
      <w:r>
        <w:rPr>
          <w:rFonts w:ascii="SimSun" w:hAnsi="SimSun" w:eastAsia="SimSun" w:cs="SimSun"/>
          <w:sz w:val="17"/>
          <w:szCs w:val="17"/>
          <w:color w:val="333333"/>
          <w:spacing w:val="57"/>
        </w:rPr>
        <w:t> </w:t>
      </w:r>
      <w:r>
        <w:rPr>
          <w:rFonts w:ascii="SimSun" w:hAnsi="SimSun" w:eastAsia="SimSun" w:cs="SimSun"/>
          <w:sz w:val="17"/>
          <w:szCs w:val="17"/>
          <w:color w:val="333333"/>
        </w:rPr>
        <w:t>，</w:t>
      </w:r>
      <w:r>
        <w:rPr>
          <w:rFonts w:ascii="SimSun" w:hAnsi="SimSun" w:eastAsia="SimSun" w:cs="SimSun"/>
          <w:sz w:val="17"/>
          <w:szCs w:val="17"/>
          <w:color w:val="333333"/>
        </w:rPr>
        <w:t> </w:t>
      </w:r>
      <w:r>
        <w:rPr>
          <w:rFonts w:ascii="SimSun" w:hAnsi="SimSun" w:eastAsia="SimSun" w:cs="SimSun"/>
          <w:sz w:val="17"/>
          <w:szCs w:val="17"/>
          <w:color w:val="333333"/>
        </w:rPr>
        <w:t>出台电子会计凭证报销入账归档相关规定，消除了会计资料无纸化的政策障碍；</w:t>
      </w:r>
      <w:r>
        <w:rPr>
          <w:rFonts w:ascii="SimSun" w:hAnsi="SimSun" w:eastAsia="SimSun" w:cs="SimSun"/>
          <w:sz w:val="17"/>
          <w:szCs w:val="17"/>
          <w:color w:val="333333"/>
          <w:spacing w:val="62"/>
          <w:w w:val="101"/>
        </w:rPr>
        <w:t> </w:t>
      </w:r>
      <w:r>
        <w:rPr>
          <w:rFonts w:ascii="SimSun" w:hAnsi="SimSun" w:eastAsia="SimSun" w:cs="SimSun"/>
          <w:sz w:val="17"/>
          <w:szCs w:val="17"/>
          <w:color w:val="333333"/>
        </w:rPr>
        <w:t>引导企事业单位建设符合自身实际需要的电子会计</w:t>
      </w:r>
      <w:r>
        <w:rPr>
          <w:rFonts w:ascii="SimSun" w:hAnsi="SimSun" w:eastAsia="SimSun" w:cs="SimSun"/>
          <w:sz w:val="17"/>
          <w:szCs w:val="17"/>
          <w:color w:val="333333"/>
        </w:rPr>
        <w:t> </w:t>
      </w:r>
      <w:r>
        <w:rPr>
          <w:rFonts w:ascii="SimSun" w:hAnsi="SimSun" w:eastAsia="SimSun" w:cs="SimSun"/>
          <w:sz w:val="17"/>
          <w:szCs w:val="17"/>
          <w:color w:val="333333"/>
          <w:spacing w:val="1"/>
        </w:rPr>
        <w:t>档案管理机制；通过积极推广电子会计资料应用实践，初步降低了会计信息的生产、传输和存储成本。</w:t>
      </w:r>
    </w:p>
    <w:p>
      <w:pPr>
        <w:ind w:firstLine="539"/>
        <w:spacing w:before="127" w:line="218" w:lineRule="exact"/>
        <w:rPr>
          <w:rFonts w:ascii="Arial" w:hAnsi="Arial" w:eastAsia="Arial" w:cs="Arial"/>
          <w:sz w:val="16"/>
          <w:szCs w:val="16"/>
        </w:rPr>
      </w:pPr>
      <w:r>
        <w:rPr>
          <w:rFonts w:ascii="Arial" w:hAnsi="Arial" w:eastAsia="Arial" w:cs="Arial"/>
          <w:sz w:val="16"/>
          <w:szCs w:val="16"/>
          <w:spacing w:val="-1"/>
        </w:rPr>
        <w:t>kjs.mof.gov.cn/zhengcejiedu/202202/t20220210_3786841.htm</w:t>
      </w:r>
      <w:r>
        <w:rPr>
          <w:rFonts w:ascii="Arial" w:hAnsi="Arial" w:eastAsia="Arial" w:cs="Arial"/>
          <w:sz w:val="16"/>
          <w:szCs w:val="16"/>
        </w:rPr>
        <w:t>                                                                                                                                            </w:t>
      </w:r>
      <w:r>
        <w:rPr>
          <w:rFonts w:ascii="Arial" w:hAnsi="Arial" w:eastAsia="Arial" w:cs="Arial"/>
          <w:sz w:val="16"/>
          <w:szCs w:val="16"/>
          <w:spacing w:val="-1"/>
        </w:rPr>
        <w:t>1/5</w:t>
      </w:r>
    </w:p>
    <w:p>
      <w:pPr>
        <w:sectPr>
          <w:type w:val="continuous"/>
          <w:pgSz w:w="11900" w:h="16839"/>
          <w:pgMar w:top="0" w:right="0" w:bottom="0" w:left="0" w:header="0" w:footer="0" w:gutter="0"/>
          <w:cols w:equalWidth="0" w:num="1">
            <w:col w:w="11900" w:space="0"/>
          </w:cols>
        </w:sectPr>
        <w:rPr/>
      </w:pPr>
    </w:p>
    <w:p>
      <w:pPr>
        <w:ind w:firstLine="533"/>
        <w:spacing w:before="293" w:line="191" w:lineRule="auto"/>
        <w:rPr>
          <w:rFonts w:ascii="Microsoft YaHei" w:hAnsi="Microsoft YaHei" w:eastAsia="Microsoft YaHei" w:cs="Microsoft YaHei"/>
          <w:sz w:val="16"/>
          <w:szCs w:val="16"/>
        </w:rPr>
      </w:pPr>
      <w:r>
        <w:rPr>
          <w:rFonts w:ascii="Arial" w:hAnsi="Arial" w:eastAsia="Arial" w:cs="Arial"/>
          <w:sz w:val="16"/>
          <w:szCs w:val="16"/>
          <w:spacing w:val="-2"/>
          <w:position w:val="1"/>
        </w:rPr>
        <w:t>2022/4/27</w:t>
      </w:r>
      <w:r>
        <w:rPr>
          <w:rFonts w:ascii="Arial" w:hAnsi="Arial" w:eastAsia="Arial" w:cs="Arial"/>
          <w:sz w:val="16"/>
          <w:szCs w:val="16"/>
          <w:spacing w:val="4"/>
          <w:position w:val="1"/>
        </w:rPr>
        <w:t>                </w:t>
      </w:r>
      <w:r>
        <w:rPr>
          <w:rFonts w:ascii="Microsoft YaHei" w:hAnsi="Microsoft YaHei" w:eastAsia="Microsoft YaHei" w:cs="Microsoft YaHei"/>
          <w:sz w:val="16"/>
          <w:szCs w:val="16"/>
          <w:spacing w:val="-2"/>
        </w:rPr>
        <w:t>加快会计数字化转型</w:t>
      </w:r>
      <w:r>
        <w:rPr>
          <w:rFonts w:ascii="Microsoft YaHei" w:hAnsi="Microsoft YaHei" w:eastAsia="Microsoft YaHei" w:cs="Microsoft YaHei"/>
          <w:sz w:val="16"/>
          <w:szCs w:val="16"/>
          <w:spacing w:val="6"/>
          <w:w w:val="101"/>
        </w:rPr>
        <w:t> </w:t>
      </w:r>
      <w:r>
        <w:rPr>
          <w:rFonts w:ascii="Microsoft YaHei" w:hAnsi="Microsoft YaHei" w:eastAsia="Microsoft YaHei" w:cs="Microsoft YaHei"/>
          <w:sz w:val="16"/>
          <w:szCs w:val="16"/>
          <w:spacing w:val="-2"/>
        </w:rPr>
        <w:t>支撑会计职能拓展推动会计信息化工作向更高水平迈进</w:t>
      </w:r>
      <w:r>
        <w:rPr>
          <w:rFonts w:ascii="Arial" w:hAnsi="Arial" w:eastAsia="Arial" w:cs="Arial"/>
          <w:sz w:val="16"/>
          <w:szCs w:val="16"/>
          <w:spacing w:val="-2"/>
        </w:rPr>
        <w:t>——</w:t>
      </w:r>
      <w:r>
        <w:rPr>
          <w:rFonts w:ascii="Arial" w:hAnsi="Arial" w:eastAsia="Arial" w:cs="Arial"/>
          <w:sz w:val="16"/>
          <w:szCs w:val="16"/>
          <w:spacing w:val="33"/>
          <w:w w:val="102"/>
        </w:rPr>
        <w:t> </w:t>
      </w:r>
      <w:r>
        <w:rPr>
          <w:rFonts w:ascii="Microsoft YaHei" w:hAnsi="Microsoft YaHei" w:eastAsia="Microsoft YaHei" w:cs="Microsoft YaHei"/>
          <w:sz w:val="16"/>
          <w:szCs w:val="16"/>
          <w:spacing w:val="-2"/>
        </w:rPr>
        <w:t>《会计改革与发展</w:t>
      </w:r>
      <w:r>
        <w:rPr>
          <w:rFonts w:ascii="Arial" w:hAnsi="Arial" w:eastAsia="Arial" w:cs="Arial"/>
          <w:sz w:val="16"/>
          <w:szCs w:val="16"/>
          <w:spacing w:val="-2"/>
        </w:rPr>
        <w:t>“</w:t>
      </w:r>
      <w:r>
        <w:rPr>
          <w:rFonts w:ascii="Microsoft YaHei" w:hAnsi="Microsoft YaHei" w:eastAsia="Microsoft YaHei" w:cs="Microsoft YaHei"/>
          <w:sz w:val="16"/>
          <w:szCs w:val="16"/>
          <w:spacing w:val="-2"/>
        </w:rPr>
        <w:t>十四五</w:t>
      </w:r>
      <w:r>
        <w:rPr>
          <w:rFonts w:ascii="Arial" w:hAnsi="Arial" w:eastAsia="Arial" w:cs="Arial"/>
          <w:sz w:val="16"/>
          <w:szCs w:val="16"/>
          <w:spacing w:val="-2"/>
        </w:rPr>
        <w:t>”</w:t>
      </w:r>
      <w:r>
        <w:rPr>
          <w:rFonts w:ascii="Microsoft YaHei" w:hAnsi="Microsoft YaHei" w:eastAsia="Microsoft YaHei" w:cs="Microsoft YaHei"/>
          <w:sz w:val="16"/>
          <w:szCs w:val="16"/>
          <w:spacing w:val="-2"/>
        </w:rPr>
        <w:t>规划纲要》系列解读之六</w:t>
      </w:r>
    </w:p>
    <w:p>
      <w:pPr>
        <w:ind w:firstLine="1391"/>
        <w:spacing w:before="135" w:line="187" w:lineRule="auto"/>
        <w:rPr>
          <w:rFonts w:ascii="SimSun" w:hAnsi="SimSun" w:eastAsia="SimSun" w:cs="SimSun"/>
          <w:sz w:val="17"/>
          <w:szCs w:val="17"/>
        </w:rPr>
      </w:pPr>
      <w:r>
        <w:rPr>
          <w:rFonts w:ascii="SimSun" w:hAnsi="SimSun" w:eastAsia="SimSun" w:cs="SimSun"/>
          <w:sz w:val="17"/>
          <w:szCs w:val="17"/>
          <w:color w:val="333333"/>
          <w:spacing w:val="11"/>
        </w:rPr>
        <w:t>二、</w:t>
      </w:r>
      <w:r>
        <w:rPr>
          <w:rFonts w:ascii="SimSun" w:hAnsi="SimSun" w:eastAsia="SimSun" w:cs="SimSun"/>
          <w:sz w:val="17"/>
          <w:szCs w:val="17"/>
          <w:color w:val="333333"/>
          <w:spacing w:val="-60"/>
        </w:rPr>
        <w:t> </w:t>
      </w:r>
      <w:r>
        <w:rPr>
          <w:rFonts w:ascii="SimSun" w:hAnsi="SimSun" w:eastAsia="SimSun" w:cs="SimSun"/>
          <w:sz w:val="17"/>
          <w:szCs w:val="17"/>
          <w:color w:val="333333"/>
          <w:spacing w:val="11"/>
        </w:rPr>
        <w:t>“十四五”时期会计信息化工作面临的形势与挑战</w:t>
      </w:r>
    </w:p>
    <w:p>
      <w:pPr>
        <w:ind w:firstLine="1397"/>
        <w:spacing w:before="236" w:line="187" w:lineRule="auto"/>
        <w:rPr>
          <w:rFonts w:ascii="SimSun" w:hAnsi="SimSun" w:eastAsia="SimSun" w:cs="SimSun"/>
          <w:sz w:val="17"/>
          <w:szCs w:val="17"/>
        </w:rPr>
      </w:pPr>
      <w:r>
        <w:rPr>
          <w:rFonts w:ascii="SimSun" w:hAnsi="SimSun" w:eastAsia="SimSun" w:cs="SimSun"/>
          <w:sz w:val="17"/>
          <w:szCs w:val="17"/>
          <w:color w:val="333333"/>
          <w:spacing w:val="1"/>
        </w:rPr>
        <w:t>随着经济社会数字化转型不断发展和新技术创新迭代，会计信息化工作面临诸多机遇和挑战。</w:t>
      </w:r>
    </w:p>
    <w:p>
      <w:pPr>
        <w:ind w:firstLine="1394"/>
        <w:spacing w:before="236" w:line="187" w:lineRule="auto"/>
        <w:rPr>
          <w:rFonts w:ascii="SimSun" w:hAnsi="SimSun" w:eastAsia="SimSun" w:cs="SimSun"/>
          <w:sz w:val="17"/>
          <w:szCs w:val="17"/>
        </w:rPr>
      </w:pPr>
      <w:r>
        <w:rPr>
          <w:rFonts w:ascii="SimSun" w:hAnsi="SimSun" w:eastAsia="SimSun" w:cs="SimSun"/>
          <w:sz w:val="17"/>
          <w:szCs w:val="17"/>
          <w:color w:val="333333"/>
          <w:spacing w:val="1"/>
        </w:rPr>
        <w:t>（一）经济社会数字化转型全面开启，会计工作数字化转型有待进一步加强。</w:t>
      </w:r>
    </w:p>
    <w:p>
      <w:pPr>
        <w:ind w:left="1044" w:right="1016" w:firstLine="346"/>
        <w:spacing w:before="237" w:line="327" w:lineRule="auto"/>
        <w:rPr>
          <w:rFonts w:ascii="SimSun" w:hAnsi="SimSun" w:eastAsia="SimSun" w:cs="SimSun"/>
          <w:sz w:val="17"/>
          <w:szCs w:val="17"/>
        </w:rPr>
      </w:pPr>
      <w:r>
        <w:rPr>
          <w:rFonts w:ascii="SimSun" w:hAnsi="SimSun" w:eastAsia="SimSun" w:cs="SimSun"/>
          <w:sz w:val="17"/>
          <w:szCs w:val="17"/>
          <w:color w:val="333333"/>
          <w:spacing w:val="2"/>
        </w:rPr>
        <w:t>我国正在经历第四次工业革命的科技发展及技术快速迭代时期，大数据、人工智能、移动互联、云计算、物联网、区块链等数</w:t>
      </w:r>
      <w:r>
        <w:rPr>
          <w:rFonts w:ascii="SimSun" w:hAnsi="SimSun" w:eastAsia="SimSun" w:cs="SimSun"/>
          <w:sz w:val="17"/>
          <w:szCs w:val="17"/>
          <w:color w:val="333333"/>
          <w:spacing w:val="31"/>
        </w:rPr>
        <w:t> </w:t>
      </w:r>
      <w:r>
        <w:rPr>
          <w:rFonts w:ascii="SimSun" w:hAnsi="SimSun" w:eastAsia="SimSun" w:cs="SimSun"/>
          <w:sz w:val="17"/>
          <w:szCs w:val="17"/>
          <w:color w:val="333333"/>
          <w:spacing w:val="2"/>
        </w:rPr>
        <w:t>字技术呈迅猛发展态势，应用场景也在不断深化，使经济社会数字化转型全面开启和深入推进，为新时期会计信息化应用场景全面</w:t>
      </w:r>
      <w:r>
        <w:rPr>
          <w:rFonts w:ascii="SimSun" w:hAnsi="SimSun" w:eastAsia="SimSun" w:cs="SimSun"/>
          <w:sz w:val="17"/>
          <w:szCs w:val="17"/>
          <w:color w:val="333333"/>
          <w:spacing w:val="34"/>
        </w:rPr>
        <w:t> </w:t>
      </w:r>
      <w:r>
        <w:rPr>
          <w:rFonts w:ascii="SimSun" w:hAnsi="SimSun" w:eastAsia="SimSun" w:cs="SimSun"/>
          <w:sz w:val="17"/>
          <w:szCs w:val="17"/>
          <w:color w:val="333333"/>
          <w:spacing w:val="2"/>
        </w:rPr>
        <w:t>转向数字化带来新的机遇，同时也带来了前所未有的挑战。运用新技术推动会计工作数字化转型，需要加快解决标准缺失、制度缺</w:t>
      </w:r>
      <w:r>
        <w:rPr>
          <w:rFonts w:ascii="SimSun" w:hAnsi="SimSun" w:eastAsia="SimSun" w:cs="SimSun"/>
          <w:sz w:val="17"/>
          <w:szCs w:val="17"/>
          <w:color w:val="333333"/>
          <w:spacing w:val="34"/>
        </w:rPr>
        <w:t> </w:t>
      </w:r>
      <w:r>
        <w:rPr>
          <w:rFonts w:ascii="SimSun" w:hAnsi="SimSun" w:eastAsia="SimSun" w:cs="SimSun"/>
          <w:sz w:val="17"/>
          <w:szCs w:val="17"/>
          <w:color w:val="333333"/>
          <w:spacing w:val="-2"/>
        </w:rPr>
        <w:t>位、人才缺乏等问题。</w:t>
      </w:r>
    </w:p>
    <w:p>
      <w:pPr>
        <w:ind w:firstLine="1394"/>
        <w:spacing w:before="107" w:line="187" w:lineRule="auto"/>
        <w:rPr>
          <w:rFonts w:ascii="SimSun" w:hAnsi="SimSun" w:eastAsia="SimSun" w:cs="SimSun"/>
          <w:sz w:val="17"/>
          <w:szCs w:val="17"/>
        </w:rPr>
      </w:pPr>
      <w:r>
        <w:rPr>
          <w:rFonts w:ascii="SimSun" w:hAnsi="SimSun" w:eastAsia="SimSun" w:cs="SimSun"/>
          <w:sz w:val="17"/>
          <w:szCs w:val="17"/>
          <w:color w:val="333333"/>
          <w:spacing w:val="1"/>
        </w:rPr>
        <w:t>（二）随着业务创新发展和新技术创新迭代，各单位业财融合需求更加迫切。</w:t>
      </w:r>
    </w:p>
    <w:p>
      <w:pPr>
        <w:ind w:left="1044" w:right="1016" w:firstLine="348"/>
        <w:spacing w:before="238" w:line="327" w:lineRule="auto"/>
        <w:rPr>
          <w:rFonts w:ascii="SimSun" w:hAnsi="SimSun" w:eastAsia="SimSun" w:cs="SimSun"/>
          <w:sz w:val="17"/>
          <w:szCs w:val="17"/>
        </w:rPr>
      </w:pPr>
      <w:r>
        <w:rPr>
          <w:rFonts w:ascii="SimSun" w:hAnsi="SimSun" w:eastAsia="SimSun" w:cs="SimSun"/>
          <w:sz w:val="17"/>
          <w:szCs w:val="17"/>
          <w:color w:val="333333"/>
          <w:spacing w:val="2"/>
        </w:rPr>
        <w:t>一方面，会计信息化应用水平程度较高的企事业单位对财务数据和业务数据进行标准化处理，初步实现了业财融合，同时业务</w:t>
      </w:r>
      <w:r>
        <w:rPr>
          <w:rFonts w:ascii="SimSun" w:hAnsi="SimSun" w:eastAsia="SimSun" w:cs="SimSun"/>
          <w:sz w:val="17"/>
          <w:szCs w:val="17"/>
          <w:color w:val="333333"/>
          <w:spacing w:val="30"/>
        </w:rPr>
        <w:t> </w:t>
      </w:r>
      <w:r>
        <w:rPr>
          <w:rFonts w:ascii="SimSun" w:hAnsi="SimSun" w:eastAsia="SimSun" w:cs="SimSun"/>
          <w:sz w:val="17"/>
          <w:szCs w:val="17"/>
          <w:color w:val="333333"/>
        </w:rPr>
        <w:t>创新发展和新技术创新迭代不断提出新的更高的业财融合需求；</w:t>
      </w:r>
      <w:r>
        <w:rPr>
          <w:rFonts w:ascii="SimSun" w:hAnsi="SimSun" w:eastAsia="SimSun" w:cs="SimSun"/>
          <w:sz w:val="17"/>
          <w:szCs w:val="17"/>
          <w:color w:val="333333"/>
          <w:spacing w:val="63"/>
        </w:rPr>
        <w:t> </w:t>
      </w:r>
      <w:r>
        <w:rPr>
          <w:rFonts w:ascii="SimSun" w:hAnsi="SimSun" w:eastAsia="SimSun" w:cs="SimSun"/>
          <w:sz w:val="17"/>
          <w:szCs w:val="17"/>
          <w:color w:val="333333"/>
        </w:rPr>
        <w:t>另一方面，多数企事业单位的业财融合仍然处在起步或局部应用阶</w:t>
      </w:r>
      <w:r>
        <w:rPr>
          <w:rFonts w:ascii="SimSun" w:hAnsi="SimSun" w:eastAsia="SimSun" w:cs="SimSun"/>
          <w:sz w:val="17"/>
          <w:szCs w:val="17"/>
          <w:color w:val="333333"/>
        </w:rPr>
        <w:t> </w:t>
      </w:r>
      <w:r>
        <w:rPr>
          <w:rFonts w:ascii="SimSun" w:hAnsi="SimSun" w:eastAsia="SimSun" w:cs="SimSun"/>
          <w:sz w:val="17"/>
          <w:szCs w:val="17"/>
          <w:color w:val="333333"/>
          <w:spacing w:val="1"/>
        </w:rPr>
        <w:t>段，对业财融合的需求非常迫切，也为会计数字化转型带来了困难。</w:t>
      </w:r>
    </w:p>
    <w:p>
      <w:pPr>
        <w:ind w:firstLine="1394"/>
        <w:spacing w:before="107" w:line="187" w:lineRule="auto"/>
        <w:rPr>
          <w:rFonts w:ascii="SimSun" w:hAnsi="SimSun" w:eastAsia="SimSun" w:cs="SimSun"/>
          <w:sz w:val="17"/>
          <w:szCs w:val="17"/>
        </w:rPr>
      </w:pPr>
      <w:r>
        <w:rPr>
          <w:rFonts w:ascii="SimSun" w:hAnsi="SimSun" w:eastAsia="SimSun" w:cs="SimSun"/>
          <w:sz w:val="17"/>
          <w:szCs w:val="17"/>
          <w:color w:val="333333"/>
        </w:rPr>
        <w:t>（三）会计数据要素日益重要，数据治理工作任重而道远。</w:t>
      </w:r>
    </w:p>
    <w:p>
      <w:pPr>
        <w:ind w:left="1044" w:right="1016" w:firstLine="354"/>
        <w:spacing w:before="238" w:line="327" w:lineRule="auto"/>
        <w:rPr>
          <w:rFonts w:ascii="SimSun" w:hAnsi="SimSun" w:eastAsia="SimSun" w:cs="SimSun"/>
          <w:sz w:val="17"/>
          <w:szCs w:val="17"/>
        </w:rPr>
      </w:pPr>
      <w:r>
        <w:rPr>
          <w:rFonts w:ascii="SimSun" w:hAnsi="SimSun" w:eastAsia="SimSun" w:cs="SimSun"/>
          <w:sz w:val="17"/>
          <w:szCs w:val="17"/>
          <w:color w:val="333333"/>
          <w:spacing w:val="2"/>
        </w:rPr>
        <w:t>随着数字经济和数字社会发展，数据已经成为五大生产要素之一。会计数据要素是单位经营管理的重要资源，不仅能够帮助企</w:t>
      </w:r>
      <w:r>
        <w:rPr>
          <w:rFonts w:ascii="SimSun" w:hAnsi="SimSun" w:eastAsia="SimSun" w:cs="SimSun"/>
          <w:sz w:val="17"/>
          <w:szCs w:val="17"/>
          <w:color w:val="333333"/>
          <w:spacing w:val="23"/>
        </w:rPr>
        <w:t> </w:t>
      </w:r>
      <w:r>
        <w:rPr>
          <w:rFonts w:ascii="SimSun" w:hAnsi="SimSun" w:eastAsia="SimSun" w:cs="SimSun"/>
          <w:sz w:val="17"/>
          <w:szCs w:val="17"/>
          <w:color w:val="333333"/>
          <w:spacing w:val="2"/>
        </w:rPr>
        <w:t>事业单位更好地规划生产经营，更能有效地处理会计核算、会计报告、管理会计、内部控制等会计工作。通过将零散的、非结构化</w:t>
      </w:r>
      <w:r>
        <w:rPr>
          <w:rFonts w:ascii="SimSun" w:hAnsi="SimSun" w:eastAsia="SimSun" w:cs="SimSun"/>
          <w:sz w:val="17"/>
          <w:szCs w:val="17"/>
          <w:color w:val="333333"/>
          <w:spacing w:val="34"/>
        </w:rPr>
        <w:t> </w:t>
      </w:r>
      <w:r>
        <w:rPr>
          <w:rFonts w:ascii="SimSun" w:hAnsi="SimSun" w:eastAsia="SimSun" w:cs="SimSun"/>
          <w:sz w:val="17"/>
          <w:szCs w:val="17"/>
          <w:color w:val="333333"/>
          <w:spacing w:val="2"/>
        </w:rPr>
        <w:t>的会计数据转变为聚合的、结构化的会计数据要素，发挥其服务单位价值创造功能，是会计工作实现数字化转型的重要途径。进一</w:t>
      </w:r>
      <w:r>
        <w:rPr>
          <w:rFonts w:ascii="SimSun" w:hAnsi="SimSun" w:eastAsia="SimSun" w:cs="SimSun"/>
          <w:sz w:val="17"/>
          <w:szCs w:val="17"/>
          <w:color w:val="333333"/>
          <w:spacing w:val="34"/>
        </w:rPr>
        <w:t> </w:t>
      </w:r>
      <w:r>
        <w:rPr>
          <w:rFonts w:ascii="SimSun" w:hAnsi="SimSun" w:eastAsia="SimSun" w:cs="SimSun"/>
          <w:sz w:val="17"/>
          <w:szCs w:val="17"/>
          <w:color w:val="333333"/>
          <w:spacing w:val="1"/>
        </w:rPr>
        <w:t>步提升会计数据要素服务单位价值创造的能力是会计数字化转型面临的主要挑战。</w:t>
      </w:r>
    </w:p>
    <w:p>
      <w:pPr>
        <w:ind w:firstLine="1394"/>
        <w:spacing w:before="107" w:line="187" w:lineRule="auto"/>
        <w:rPr>
          <w:rFonts w:ascii="SimSun" w:hAnsi="SimSun" w:eastAsia="SimSun" w:cs="SimSun"/>
          <w:sz w:val="17"/>
          <w:szCs w:val="17"/>
        </w:rPr>
      </w:pPr>
      <w:r>
        <w:rPr>
          <w:rFonts w:ascii="SimSun" w:hAnsi="SimSun" w:eastAsia="SimSun" w:cs="SimSun"/>
          <w:sz w:val="17"/>
          <w:szCs w:val="17"/>
          <w:color w:val="333333"/>
          <w:spacing w:val="1"/>
        </w:rPr>
        <w:t>（四）随着基于网络环境的会计信息系统的广泛应用，会计数据安全风险不容忽视。</w:t>
      </w:r>
    </w:p>
    <w:p>
      <w:pPr>
        <w:ind w:left="1044" w:right="1016" w:firstLine="358"/>
        <w:spacing w:before="238" w:line="327" w:lineRule="auto"/>
        <w:rPr>
          <w:rFonts w:ascii="SimSun" w:hAnsi="SimSun" w:eastAsia="SimSun" w:cs="SimSun"/>
          <w:sz w:val="17"/>
          <w:szCs w:val="17"/>
        </w:rPr>
      </w:pPr>
      <w:r>
        <w:rPr>
          <w:rFonts w:ascii="SimSun" w:hAnsi="SimSun" w:eastAsia="SimSun" w:cs="SimSun"/>
          <w:sz w:val="17"/>
          <w:szCs w:val="17"/>
          <w:color w:val="333333"/>
          <w:spacing w:val="2"/>
        </w:rPr>
        <w:t>网络时代，数据安全保障工作难度大大提高，基于网络环境的会计信息系统受到日益严重的网络安全威胁。会计数据在单位内</w:t>
      </w:r>
      <w:r>
        <w:rPr>
          <w:rFonts w:ascii="SimSun" w:hAnsi="SimSun" w:eastAsia="SimSun" w:cs="SimSun"/>
          <w:sz w:val="17"/>
          <w:szCs w:val="17"/>
          <w:color w:val="333333"/>
          <w:spacing w:val="19"/>
        </w:rPr>
        <w:t> </w:t>
      </w:r>
      <w:r>
        <w:rPr>
          <w:rFonts w:ascii="SimSun" w:hAnsi="SimSun" w:eastAsia="SimSun" w:cs="SimSun"/>
          <w:sz w:val="17"/>
          <w:szCs w:val="17"/>
          <w:color w:val="333333"/>
          <w:spacing w:val="2"/>
        </w:rPr>
        <w:t>部、各单位之间共享和使用，以及会计数据传输、存储等环节都存在数据泄露、篡改及损毁的风险，会计信息系统和会计数据安全</w:t>
      </w:r>
      <w:r>
        <w:rPr>
          <w:rFonts w:ascii="SimSun" w:hAnsi="SimSun" w:eastAsia="SimSun" w:cs="SimSun"/>
          <w:sz w:val="17"/>
          <w:szCs w:val="17"/>
          <w:color w:val="333333"/>
          <w:spacing w:val="33"/>
          <w:w w:val="101"/>
        </w:rPr>
        <w:t> </w:t>
      </w:r>
      <w:r>
        <w:rPr>
          <w:rFonts w:ascii="SimSun" w:hAnsi="SimSun" w:eastAsia="SimSun" w:cs="SimSun"/>
          <w:sz w:val="17"/>
          <w:szCs w:val="17"/>
          <w:color w:val="333333"/>
        </w:rPr>
        <w:t>风险不断上升，需要采取有效的防范措施。</w:t>
      </w:r>
    </w:p>
    <w:p>
      <w:pPr>
        <w:ind w:firstLine="1388"/>
        <w:spacing w:before="107" w:line="187" w:lineRule="auto"/>
        <w:rPr>
          <w:rFonts w:ascii="SimSun" w:hAnsi="SimSun" w:eastAsia="SimSun" w:cs="SimSun"/>
          <w:sz w:val="17"/>
          <w:szCs w:val="17"/>
        </w:rPr>
      </w:pPr>
      <w:r>
        <w:rPr>
          <w:rFonts w:ascii="SimSun" w:hAnsi="SimSun" w:eastAsia="SimSun" w:cs="SimSun"/>
          <w:sz w:val="17"/>
          <w:szCs w:val="17"/>
          <w:color w:val="333333"/>
          <w:spacing w:val="11"/>
        </w:rPr>
        <w:t>三、</w:t>
      </w:r>
      <w:r>
        <w:rPr>
          <w:rFonts w:ascii="SimSun" w:hAnsi="SimSun" w:eastAsia="SimSun" w:cs="SimSun"/>
          <w:sz w:val="17"/>
          <w:szCs w:val="17"/>
          <w:color w:val="333333"/>
          <w:spacing w:val="-53"/>
        </w:rPr>
        <w:t> </w:t>
      </w:r>
      <w:r>
        <w:rPr>
          <w:rFonts w:ascii="SimSun" w:hAnsi="SimSun" w:eastAsia="SimSun" w:cs="SimSun"/>
          <w:sz w:val="17"/>
          <w:szCs w:val="17"/>
          <w:color w:val="333333"/>
          <w:spacing w:val="11"/>
        </w:rPr>
        <w:t>“十四五”时期会计信息化工作的总体目标和主要任务</w:t>
      </w:r>
    </w:p>
    <w:p>
      <w:pPr>
        <w:ind w:firstLine="1390"/>
        <w:spacing w:before="237" w:line="187" w:lineRule="auto"/>
        <w:rPr>
          <w:rFonts w:ascii="SimSun" w:hAnsi="SimSun" w:eastAsia="SimSun" w:cs="SimSun"/>
          <w:sz w:val="17"/>
          <w:szCs w:val="17"/>
        </w:rPr>
      </w:pPr>
      <w:r>
        <w:rPr>
          <w:rFonts w:ascii="SimSun" w:hAnsi="SimSun" w:eastAsia="SimSun" w:cs="SimSun"/>
          <w:sz w:val="17"/>
          <w:szCs w:val="17"/>
          <w:color w:val="333333"/>
          <w:spacing w:val="1"/>
        </w:rPr>
        <w:t>《信息化规划》在总结成绩、分析形势的基础上，提出了“十四五”时期会计信息化工作的总体目标和主要任务。</w:t>
      </w:r>
    </w:p>
    <w:p>
      <w:pPr>
        <w:ind w:left="1043" w:right="1016" w:firstLine="335"/>
        <w:spacing w:before="237" w:line="327" w:lineRule="auto"/>
        <w:rPr>
          <w:rFonts w:ascii="SimSun" w:hAnsi="SimSun" w:eastAsia="SimSun" w:cs="SimSun"/>
          <w:sz w:val="17"/>
          <w:szCs w:val="17"/>
        </w:rPr>
      </w:pPr>
      <w:r>
        <w:rPr>
          <w:rFonts w:ascii="SimSun" w:hAnsi="SimSun" w:eastAsia="SimSun" w:cs="SimSun"/>
          <w:sz w:val="17"/>
          <w:szCs w:val="17"/>
          <w:color w:val="333333"/>
        </w:rPr>
        <w:t>“十四五”时期，我国会计信息化工作的总体目标是：</w:t>
      </w:r>
      <w:r>
        <w:rPr>
          <w:rFonts w:ascii="SimSun" w:hAnsi="SimSun" w:eastAsia="SimSun" w:cs="SimSun"/>
          <w:sz w:val="17"/>
          <w:szCs w:val="17"/>
          <w:color w:val="333333"/>
          <w:spacing w:val="69"/>
        </w:rPr>
        <w:t> </w:t>
      </w:r>
      <w:r>
        <w:rPr>
          <w:rFonts w:ascii="SimSun" w:hAnsi="SimSun" w:eastAsia="SimSun" w:cs="SimSun"/>
          <w:sz w:val="17"/>
          <w:szCs w:val="17"/>
          <w:color w:val="333333"/>
        </w:rPr>
        <w:t>服务我国经济社会发展大局和财政管理工作全局，以信息化支撑会计职</w:t>
      </w:r>
      <w:r>
        <w:rPr>
          <w:rFonts w:ascii="SimSun" w:hAnsi="SimSun" w:eastAsia="SimSun" w:cs="SimSun"/>
          <w:sz w:val="17"/>
          <w:szCs w:val="17"/>
          <w:color w:val="333333"/>
        </w:rPr>
        <w:t> </w:t>
      </w:r>
      <w:r>
        <w:rPr>
          <w:rFonts w:ascii="SimSun" w:hAnsi="SimSun" w:eastAsia="SimSun" w:cs="SimSun"/>
          <w:sz w:val="17"/>
          <w:szCs w:val="17"/>
          <w:color w:val="333333"/>
          <w:spacing w:val="2"/>
        </w:rPr>
        <w:t>能拓展为主线，以标准化为基础，以数字化为突破口，引导和规范我国会计信息化数据标准、管理制度、信息系统、人才建设等持</w:t>
      </w:r>
      <w:r>
        <w:rPr>
          <w:rFonts w:ascii="SimSun" w:hAnsi="SimSun" w:eastAsia="SimSun" w:cs="SimSun"/>
          <w:sz w:val="17"/>
          <w:szCs w:val="17"/>
          <w:color w:val="333333"/>
          <w:spacing w:val="35"/>
        </w:rPr>
        <w:t> </w:t>
      </w:r>
      <w:r>
        <w:rPr>
          <w:rFonts w:ascii="SimSun" w:hAnsi="SimSun" w:eastAsia="SimSun" w:cs="SimSun"/>
          <w:sz w:val="17"/>
          <w:szCs w:val="17"/>
          <w:color w:val="333333"/>
          <w:spacing w:val="2"/>
        </w:rPr>
        <w:t>续健康发展，积极推动会计数字化转型，构建符合新时代要求的国家会计信息化发展体系。具体包括会计数据标准体系基本建立、</w:t>
      </w:r>
      <w:r>
        <w:rPr>
          <w:rFonts w:ascii="SimSun" w:hAnsi="SimSun" w:eastAsia="SimSun" w:cs="SimSun"/>
          <w:sz w:val="17"/>
          <w:szCs w:val="17"/>
          <w:color w:val="333333"/>
          <w:spacing w:val="35"/>
        </w:rPr>
        <w:t> </w:t>
      </w:r>
      <w:r>
        <w:rPr>
          <w:rFonts w:ascii="SimSun" w:hAnsi="SimSun" w:eastAsia="SimSun" w:cs="SimSun"/>
          <w:sz w:val="17"/>
          <w:szCs w:val="17"/>
          <w:color w:val="333333"/>
          <w:spacing w:val="2"/>
        </w:rPr>
        <w:t>会计信息化制度规范持续完善、会计数字化转型升级加快推进、会计数据价值得到有效发挥、会计监管信息实现互通共享、会计信</w:t>
      </w:r>
      <w:r>
        <w:rPr>
          <w:rFonts w:ascii="SimSun" w:hAnsi="SimSun" w:eastAsia="SimSun" w:cs="SimSun"/>
          <w:sz w:val="17"/>
          <w:szCs w:val="17"/>
          <w:color w:val="333333"/>
          <w:spacing w:val="35"/>
        </w:rPr>
        <w:t> </w:t>
      </w:r>
      <w:r>
        <w:rPr>
          <w:rFonts w:ascii="SimSun" w:hAnsi="SimSun" w:eastAsia="SimSun" w:cs="SimSun"/>
          <w:sz w:val="17"/>
          <w:szCs w:val="17"/>
          <w:color w:val="333333"/>
          <w:spacing w:val="1"/>
        </w:rPr>
        <w:t>息化人才队伍不断壮大等六个子目标，以及加快建立会计数据标准体系等九项主要任务。</w:t>
      </w:r>
    </w:p>
    <w:p>
      <w:pPr>
        <w:ind w:firstLine="1394"/>
        <w:spacing w:before="108" w:line="187" w:lineRule="auto"/>
        <w:rPr>
          <w:rFonts w:ascii="SimSun" w:hAnsi="SimSun" w:eastAsia="SimSun" w:cs="SimSun"/>
          <w:sz w:val="17"/>
          <w:szCs w:val="17"/>
        </w:rPr>
      </w:pPr>
      <w:r>
        <w:rPr>
          <w:rFonts w:ascii="SimSun" w:hAnsi="SimSun" w:eastAsia="SimSun" w:cs="SimSun"/>
          <w:sz w:val="17"/>
          <w:szCs w:val="17"/>
          <w:color w:val="333333"/>
        </w:rPr>
        <w:t>（一）加快建立会计数据标准体系，推动会计数据治理能力建设。</w:t>
      </w:r>
    </w:p>
    <w:p>
      <w:pPr>
        <w:ind w:firstLine="1392"/>
        <w:spacing w:before="236" w:line="187" w:lineRule="auto"/>
        <w:rPr>
          <w:rFonts w:ascii="SimSun" w:hAnsi="SimSun" w:eastAsia="SimSun" w:cs="SimSun"/>
          <w:sz w:val="17"/>
          <w:szCs w:val="17"/>
        </w:rPr>
      </w:pPr>
      <w:r>
        <w:rPr>
          <w:rFonts w:ascii="SimSun" w:hAnsi="SimSun" w:eastAsia="SimSun" w:cs="SimSun"/>
          <w:sz w:val="17"/>
          <w:szCs w:val="17"/>
          <w:color w:val="333333"/>
          <w:spacing w:val="1"/>
        </w:rPr>
        <w:t>统筹规划、制定和实施覆盖会计信息系统输入、处理和输出等环节的会计数据标准，为会计数字化转型奠定基础。</w:t>
      </w:r>
    </w:p>
    <w:p>
      <w:pPr>
        <w:ind w:left="1043" w:right="1016" w:firstLine="358"/>
        <w:spacing w:before="238" w:line="327" w:lineRule="auto"/>
        <w:rPr>
          <w:rFonts w:ascii="SimSun" w:hAnsi="SimSun" w:eastAsia="SimSun" w:cs="SimSun"/>
          <w:sz w:val="17"/>
          <w:szCs w:val="17"/>
        </w:rPr>
      </w:pPr>
      <w:r>
        <w:rPr>
          <w:rFonts w:ascii="SimSun" w:hAnsi="SimSun" w:eastAsia="SimSun" w:cs="SimSun"/>
          <w:sz w:val="17"/>
          <w:szCs w:val="17"/>
          <w:color w:val="333333"/>
          <w:spacing w:val="2"/>
        </w:rPr>
        <w:t>1.制定实施输入环节的会计数据标准。在输入环节，加快制定、试点和推广电子凭证会计数据标准，统筹解决电子票据接收、</w:t>
      </w:r>
      <w:r>
        <w:rPr>
          <w:rFonts w:ascii="SimSun" w:hAnsi="SimSun" w:eastAsia="SimSun" w:cs="SimSun"/>
          <w:sz w:val="17"/>
          <w:szCs w:val="17"/>
          <w:color w:val="333333"/>
          <w:spacing w:val="18"/>
        </w:rPr>
        <w:t> </w:t>
      </w:r>
      <w:r>
        <w:rPr>
          <w:rFonts w:ascii="SimSun" w:hAnsi="SimSun" w:eastAsia="SimSun" w:cs="SimSun"/>
          <w:sz w:val="17"/>
          <w:szCs w:val="17"/>
          <w:color w:val="333333"/>
          <w:spacing w:val="1"/>
        </w:rPr>
        <w:t>入账和归档全流程的自动化、无纸化问题。</w:t>
      </w:r>
      <w:r>
        <w:rPr>
          <w:rFonts w:ascii="SimSun" w:hAnsi="SimSun" w:eastAsia="SimSun" w:cs="SimSun"/>
          <w:sz w:val="17"/>
          <w:szCs w:val="17"/>
          <w:color w:val="333333"/>
          <w:spacing w:val="7"/>
        </w:rPr>
        <w:t> </w:t>
      </w:r>
      <w:r>
        <w:rPr>
          <w:rFonts w:ascii="SimSun" w:hAnsi="SimSun" w:eastAsia="SimSun" w:cs="SimSun"/>
          <w:sz w:val="17"/>
          <w:szCs w:val="17"/>
          <w:color w:val="333333"/>
          <w:spacing w:val="1"/>
        </w:rPr>
        <w:t>目前，税务发票、财政票据、铁路客票等各类原始凭证数据在各自领域已经实现数据标</w:t>
      </w:r>
      <w:r>
        <w:rPr>
          <w:rFonts w:ascii="SimSun" w:hAnsi="SimSun" w:eastAsia="SimSun" w:cs="SimSun"/>
          <w:sz w:val="17"/>
          <w:szCs w:val="17"/>
          <w:color w:val="333333"/>
        </w:rPr>
        <w:t> </w:t>
      </w:r>
      <w:r>
        <w:rPr>
          <w:rFonts w:ascii="SimSun" w:hAnsi="SimSun" w:eastAsia="SimSun" w:cs="SimSun"/>
          <w:sz w:val="17"/>
          <w:szCs w:val="17"/>
          <w:color w:val="333333"/>
          <w:spacing w:val="2"/>
        </w:rPr>
        <w:t>准化，但尚未建立国内广泛电子凭证的会计数据标准。财政部将联合有关部门，在统一电子凭证数据标准的前提下，解决电子票据</w:t>
      </w:r>
      <w:r>
        <w:rPr>
          <w:rFonts w:ascii="SimSun" w:hAnsi="SimSun" w:eastAsia="SimSun" w:cs="SimSun"/>
          <w:sz w:val="17"/>
          <w:szCs w:val="17"/>
          <w:color w:val="333333"/>
          <w:spacing w:val="35"/>
        </w:rPr>
        <w:t> </w:t>
      </w:r>
      <w:r>
        <w:rPr>
          <w:rFonts w:ascii="SimSun" w:hAnsi="SimSun" w:eastAsia="SimSun" w:cs="SimSun"/>
          <w:sz w:val="17"/>
          <w:szCs w:val="17"/>
          <w:color w:val="333333"/>
          <w:spacing w:val="1"/>
        </w:rPr>
        <w:t>在企事业单位实现接收、入账和归档全流程的自动化、无纸化。</w:t>
      </w:r>
    </w:p>
    <w:p>
      <w:pPr>
        <w:ind w:left="1043" w:right="1016" w:firstLine="348"/>
        <w:spacing w:before="108" w:line="327" w:lineRule="auto"/>
        <w:rPr>
          <w:rFonts w:ascii="SimSun" w:hAnsi="SimSun" w:eastAsia="SimSun" w:cs="SimSun"/>
          <w:sz w:val="17"/>
          <w:szCs w:val="17"/>
        </w:rPr>
      </w:pPr>
      <w:r>
        <w:rPr>
          <w:rFonts w:ascii="SimSun" w:hAnsi="SimSun" w:eastAsia="SimSun" w:cs="SimSun"/>
          <w:sz w:val="17"/>
          <w:szCs w:val="17"/>
          <w:color w:val="333333"/>
          <w:spacing w:val="2"/>
        </w:rPr>
        <w:t>2.制定和实施处理环节的会计数据标准。在处理环节，探索制定财务会计软件底层会计数据标准，规范会计核算系统的业务规</w:t>
      </w:r>
      <w:r>
        <w:rPr>
          <w:rFonts w:ascii="SimSun" w:hAnsi="SimSun" w:eastAsia="SimSun" w:cs="SimSun"/>
          <w:sz w:val="17"/>
          <w:szCs w:val="17"/>
          <w:color w:val="333333"/>
          <w:spacing w:val="29"/>
        </w:rPr>
        <w:t> </w:t>
      </w:r>
      <w:r>
        <w:rPr>
          <w:rFonts w:ascii="SimSun" w:hAnsi="SimSun" w:eastAsia="SimSun" w:cs="SimSun"/>
          <w:sz w:val="17"/>
          <w:szCs w:val="17"/>
          <w:color w:val="333333"/>
          <w:spacing w:val="2"/>
        </w:rPr>
        <w:t>则和技术标准，并在一定范围对有关企事业单位进行试点，满足各单位对会计信息标准化的需求和相关监管部门穿透式获取会计数</w:t>
      </w:r>
      <w:r>
        <w:rPr>
          <w:rFonts w:ascii="SimSun" w:hAnsi="SimSun" w:eastAsia="SimSun" w:cs="SimSun"/>
          <w:sz w:val="17"/>
          <w:szCs w:val="17"/>
          <w:color w:val="333333"/>
          <w:spacing w:val="35"/>
        </w:rPr>
        <w:t> </w:t>
      </w:r>
      <w:r>
        <w:rPr>
          <w:rFonts w:ascii="SimSun" w:hAnsi="SimSun" w:eastAsia="SimSun" w:cs="SimSun"/>
          <w:sz w:val="17"/>
          <w:szCs w:val="17"/>
          <w:color w:val="333333"/>
          <w:spacing w:val="-1"/>
        </w:rPr>
        <w:t>据系统底层数据的需求。</w:t>
      </w:r>
    </w:p>
    <w:p>
      <w:pPr>
        <w:ind w:firstLine="1399"/>
        <w:spacing w:before="108" w:line="187" w:lineRule="auto"/>
        <w:rPr>
          <w:rFonts w:ascii="SimSun" w:hAnsi="SimSun" w:eastAsia="SimSun" w:cs="SimSun"/>
          <w:sz w:val="17"/>
          <w:szCs w:val="17"/>
        </w:rPr>
      </w:pPr>
      <w:r>
        <w:rPr>
          <w:rFonts w:ascii="SimSun" w:hAnsi="SimSun" w:eastAsia="SimSun" w:cs="SimSun"/>
          <w:sz w:val="17"/>
          <w:szCs w:val="17"/>
          <w:color w:val="333333"/>
          <w:spacing w:val="5"/>
        </w:rPr>
        <w:t>3.制定和实施输出环节的会计数据标准。在输出环节，推广实施基于企业会计准则通用分类标准的企业财务报表会计数据标</w:t>
      </w:r>
    </w:p>
    <w:p>
      <w:pPr>
        <w:ind w:left="1043" w:right="1016" w:firstLine="2"/>
        <w:spacing w:before="129" w:line="327" w:lineRule="auto"/>
        <w:rPr>
          <w:rFonts w:ascii="SimSun" w:hAnsi="SimSun" w:eastAsia="SimSun" w:cs="SimSun"/>
          <w:sz w:val="17"/>
          <w:szCs w:val="17"/>
        </w:rPr>
      </w:pPr>
      <w:r>
        <w:rPr>
          <w:rFonts w:ascii="SimSun" w:hAnsi="SimSun" w:eastAsia="SimSun" w:cs="SimSun"/>
          <w:sz w:val="17"/>
          <w:szCs w:val="17"/>
          <w:color w:val="333333"/>
          <w:spacing w:val="2"/>
        </w:rPr>
        <w:t>准，推动企业向不同监管部门报送的各种报表中的会计数据口径尽可能实现统一，降低编制及报送成本、提高报表信息质量，增强</w:t>
      </w:r>
      <w:r>
        <w:rPr>
          <w:rFonts w:ascii="SimSun" w:hAnsi="SimSun" w:eastAsia="SimSun" w:cs="SimSun"/>
          <w:sz w:val="17"/>
          <w:szCs w:val="17"/>
          <w:color w:val="333333"/>
          <w:spacing w:val="33"/>
        </w:rPr>
        <w:t> </w:t>
      </w:r>
      <w:r>
        <w:rPr>
          <w:rFonts w:ascii="SimSun" w:hAnsi="SimSun" w:eastAsia="SimSun" w:cs="SimSun"/>
          <w:sz w:val="17"/>
          <w:szCs w:val="17"/>
          <w:color w:val="333333"/>
        </w:rPr>
        <w:t>会计数据共享水平，提升监管效能。</w:t>
      </w:r>
    </w:p>
    <w:p>
      <w:pPr>
        <w:ind w:firstLine="1394"/>
        <w:spacing w:before="108" w:line="187" w:lineRule="auto"/>
        <w:rPr>
          <w:rFonts w:ascii="SimSun" w:hAnsi="SimSun" w:eastAsia="SimSun" w:cs="SimSun"/>
          <w:sz w:val="17"/>
          <w:szCs w:val="17"/>
        </w:rPr>
      </w:pPr>
      <w:r>
        <w:rPr>
          <w:rFonts w:ascii="SimSun" w:hAnsi="SimSun" w:eastAsia="SimSun" w:cs="SimSun"/>
          <w:sz w:val="17"/>
          <w:szCs w:val="17"/>
          <w:color w:val="333333"/>
          <w:spacing w:val="1"/>
        </w:rPr>
        <w:t>（二）制定会计信息化工作规范和软件功能规范，进一步完善配套制度机制。</w:t>
      </w:r>
    </w:p>
    <w:p>
      <w:pPr>
        <w:ind w:left="1044" w:right="1016" w:firstLine="334"/>
        <w:spacing w:before="237" w:line="327" w:lineRule="auto"/>
        <w:rPr>
          <w:rFonts w:ascii="SimSun" w:hAnsi="SimSun" w:eastAsia="SimSun" w:cs="SimSun"/>
          <w:sz w:val="17"/>
          <w:szCs w:val="17"/>
        </w:rPr>
      </w:pPr>
      <w:r>
        <w:rPr>
          <w:rFonts w:ascii="SimSun" w:hAnsi="SimSun" w:eastAsia="SimSun" w:cs="SimSun"/>
          <w:sz w:val="17"/>
          <w:szCs w:val="17"/>
          <w:color w:val="333333"/>
          <w:spacing w:val="2"/>
        </w:rPr>
        <w:t>“十四五”期间，财政部将全面系统梳理现有各类会计信息化相关的法规、规范、制度，及时清理已实质失效或不再适用的会</w:t>
      </w:r>
      <w:r>
        <w:rPr>
          <w:rFonts w:ascii="SimSun" w:hAnsi="SimSun" w:eastAsia="SimSun" w:cs="SimSun"/>
          <w:sz w:val="17"/>
          <w:szCs w:val="17"/>
          <w:color w:val="333333"/>
          <w:spacing w:val="44"/>
        </w:rPr>
        <w:t> </w:t>
      </w:r>
      <w:r>
        <w:rPr>
          <w:rFonts w:ascii="SimSun" w:hAnsi="SimSun" w:eastAsia="SimSun" w:cs="SimSun"/>
          <w:sz w:val="17"/>
          <w:szCs w:val="17"/>
          <w:color w:val="333333"/>
          <w:spacing w:val="2"/>
        </w:rPr>
        <w:t>计信息化工作标准文件，确定会计信息化工作制度体系整体框架及各类制度之间的协调机制，确保各类会计信息化制度目标明确、</w:t>
      </w:r>
      <w:r>
        <w:rPr>
          <w:rFonts w:ascii="SimSun" w:hAnsi="SimSun" w:eastAsia="SimSun" w:cs="SimSun"/>
          <w:sz w:val="17"/>
          <w:szCs w:val="17"/>
          <w:color w:val="333333"/>
          <w:spacing w:val="34"/>
        </w:rPr>
        <w:t> </w:t>
      </w:r>
      <w:r>
        <w:rPr>
          <w:rFonts w:ascii="SimSun" w:hAnsi="SimSun" w:eastAsia="SimSun" w:cs="SimSun"/>
          <w:sz w:val="17"/>
          <w:szCs w:val="17"/>
          <w:color w:val="333333"/>
        </w:rPr>
        <w:t>功能清晰、内容完整、执行统一、相互协调。</w:t>
      </w:r>
    </w:p>
    <w:p>
      <w:pPr>
        <w:spacing w:line="281" w:lineRule="auto"/>
        <w:rPr>
          <w:rFonts w:ascii="SimSun"/>
          <w:sz w:val="21"/>
        </w:rPr>
      </w:pPr>
      <w:r/>
    </w:p>
    <w:p>
      <w:pPr>
        <w:spacing w:line="282" w:lineRule="auto"/>
        <w:rPr>
          <w:rFonts w:ascii="SimSun"/>
          <w:sz w:val="21"/>
        </w:rPr>
      </w:pPr>
      <w:r/>
    </w:p>
    <w:p>
      <w:pPr>
        <w:ind w:firstLine="539"/>
        <w:spacing w:before="47" w:line="218" w:lineRule="exact"/>
        <w:rPr>
          <w:rFonts w:ascii="Arial" w:hAnsi="Arial" w:eastAsia="Arial" w:cs="Arial"/>
          <w:sz w:val="16"/>
          <w:szCs w:val="16"/>
        </w:rPr>
      </w:pPr>
      <w:r>
        <w:rPr>
          <w:rFonts w:ascii="Arial" w:hAnsi="Arial" w:eastAsia="Arial" w:cs="Arial"/>
          <w:sz w:val="16"/>
          <w:szCs w:val="16"/>
          <w:spacing w:val="-1"/>
        </w:rPr>
        <w:t>kjs.mof.gov.cn/zhengcejiedu/202202/t20220210_3786841.htm</w:t>
      </w:r>
      <w:r>
        <w:rPr>
          <w:rFonts w:ascii="Arial" w:hAnsi="Arial" w:eastAsia="Arial" w:cs="Arial"/>
          <w:sz w:val="16"/>
          <w:szCs w:val="16"/>
        </w:rPr>
        <w:t>                                                                                                                                            </w:t>
      </w:r>
      <w:r>
        <w:rPr>
          <w:rFonts w:ascii="Arial" w:hAnsi="Arial" w:eastAsia="Arial" w:cs="Arial"/>
          <w:sz w:val="16"/>
          <w:szCs w:val="16"/>
          <w:spacing w:val="-1"/>
        </w:rPr>
        <w:t>2/5</w:t>
      </w:r>
    </w:p>
    <w:p>
      <w:pPr>
        <w:sectPr>
          <w:pgSz w:w="11900" w:h="16839"/>
          <w:pgMar w:top="0" w:right="0" w:bottom="0" w:left="0" w:header="0" w:footer="0" w:gutter="0"/>
        </w:sectPr>
        <w:rPr/>
      </w:pPr>
    </w:p>
    <w:p>
      <w:pPr>
        <w:ind w:firstLine="533"/>
        <w:spacing w:before="293" w:line="191" w:lineRule="auto"/>
        <w:rPr>
          <w:rFonts w:ascii="Microsoft YaHei" w:hAnsi="Microsoft YaHei" w:eastAsia="Microsoft YaHei" w:cs="Microsoft YaHei"/>
          <w:sz w:val="16"/>
          <w:szCs w:val="16"/>
        </w:rPr>
      </w:pPr>
      <w:r>
        <w:rPr>
          <w:rFonts w:ascii="Arial" w:hAnsi="Arial" w:eastAsia="Arial" w:cs="Arial"/>
          <w:sz w:val="16"/>
          <w:szCs w:val="16"/>
          <w:spacing w:val="-2"/>
          <w:position w:val="1"/>
        </w:rPr>
        <w:t>2022/4/27</w:t>
      </w:r>
      <w:r>
        <w:rPr>
          <w:rFonts w:ascii="Arial" w:hAnsi="Arial" w:eastAsia="Arial" w:cs="Arial"/>
          <w:sz w:val="16"/>
          <w:szCs w:val="16"/>
          <w:spacing w:val="4"/>
          <w:position w:val="1"/>
        </w:rPr>
        <w:t>                </w:t>
      </w:r>
      <w:r>
        <w:rPr>
          <w:rFonts w:ascii="Microsoft YaHei" w:hAnsi="Microsoft YaHei" w:eastAsia="Microsoft YaHei" w:cs="Microsoft YaHei"/>
          <w:sz w:val="16"/>
          <w:szCs w:val="16"/>
          <w:spacing w:val="-2"/>
        </w:rPr>
        <w:t>加快会计数字化转型</w:t>
      </w:r>
      <w:r>
        <w:rPr>
          <w:rFonts w:ascii="Microsoft YaHei" w:hAnsi="Microsoft YaHei" w:eastAsia="Microsoft YaHei" w:cs="Microsoft YaHei"/>
          <w:sz w:val="16"/>
          <w:szCs w:val="16"/>
          <w:spacing w:val="6"/>
          <w:w w:val="101"/>
        </w:rPr>
        <w:t> </w:t>
      </w:r>
      <w:r>
        <w:rPr>
          <w:rFonts w:ascii="Microsoft YaHei" w:hAnsi="Microsoft YaHei" w:eastAsia="Microsoft YaHei" w:cs="Microsoft YaHei"/>
          <w:sz w:val="16"/>
          <w:szCs w:val="16"/>
          <w:spacing w:val="-2"/>
        </w:rPr>
        <w:t>支撑会计职能拓展推动会计信息化工作向更高水平迈进</w:t>
      </w:r>
      <w:r>
        <w:rPr>
          <w:rFonts w:ascii="Arial" w:hAnsi="Arial" w:eastAsia="Arial" w:cs="Arial"/>
          <w:sz w:val="16"/>
          <w:szCs w:val="16"/>
          <w:spacing w:val="-2"/>
        </w:rPr>
        <w:t>——</w:t>
      </w:r>
      <w:r>
        <w:rPr>
          <w:rFonts w:ascii="Arial" w:hAnsi="Arial" w:eastAsia="Arial" w:cs="Arial"/>
          <w:sz w:val="16"/>
          <w:szCs w:val="16"/>
          <w:spacing w:val="33"/>
          <w:w w:val="102"/>
        </w:rPr>
        <w:t> </w:t>
      </w:r>
      <w:r>
        <w:rPr>
          <w:rFonts w:ascii="Microsoft YaHei" w:hAnsi="Microsoft YaHei" w:eastAsia="Microsoft YaHei" w:cs="Microsoft YaHei"/>
          <w:sz w:val="16"/>
          <w:szCs w:val="16"/>
          <w:spacing w:val="-2"/>
        </w:rPr>
        <w:t>《会计改革与发展</w:t>
      </w:r>
      <w:r>
        <w:rPr>
          <w:rFonts w:ascii="Arial" w:hAnsi="Arial" w:eastAsia="Arial" w:cs="Arial"/>
          <w:sz w:val="16"/>
          <w:szCs w:val="16"/>
          <w:spacing w:val="-2"/>
        </w:rPr>
        <w:t>“</w:t>
      </w:r>
      <w:r>
        <w:rPr>
          <w:rFonts w:ascii="Microsoft YaHei" w:hAnsi="Microsoft YaHei" w:eastAsia="Microsoft YaHei" w:cs="Microsoft YaHei"/>
          <w:sz w:val="16"/>
          <w:szCs w:val="16"/>
          <w:spacing w:val="-2"/>
        </w:rPr>
        <w:t>十四五</w:t>
      </w:r>
      <w:r>
        <w:rPr>
          <w:rFonts w:ascii="Arial" w:hAnsi="Arial" w:eastAsia="Arial" w:cs="Arial"/>
          <w:sz w:val="16"/>
          <w:szCs w:val="16"/>
          <w:spacing w:val="-2"/>
        </w:rPr>
        <w:t>”</w:t>
      </w:r>
      <w:r>
        <w:rPr>
          <w:rFonts w:ascii="Microsoft YaHei" w:hAnsi="Microsoft YaHei" w:eastAsia="Microsoft YaHei" w:cs="Microsoft YaHei"/>
          <w:sz w:val="16"/>
          <w:szCs w:val="16"/>
          <w:spacing w:val="-2"/>
        </w:rPr>
        <w:t>规划纲要》系列解读之六</w:t>
      </w:r>
    </w:p>
    <w:p>
      <w:pPr>
        <w:ind w:left="1033" w:right="1016" w:firstLine="369"/>
        <w:spacing w:before="136" w:line="327" w:lineRule="auto"/>
        <w:rPr>
          <w:rFonts w:ascii="SimSun" w:hAnsi="SimSun" w:eastAsia="SimSun" w:cs="SimSun"/>
          <w:sz w:val="17"/>
          <w:szCs w:val="17"/>
        </w:rPr>
      </w:pPr>
      <w:r>
        <w:rPr>
          <w:rFonts w:ascii="SimSun" w:hAnsi="SimSun" w:eastAsia="SimSun" w:cs="SimSun"/>
          <w:sz w:val="17"/>
          <w:szCs w:val="17"/>
          <w:color w:val="333333"/>
          <w:spacing w:val="-2"/>
        </w:rPr>
        <w:t>1.推动修订《中华人民共和国会计法》</w:t>
      </w:r>
      <w:r>
        <w:rPr>
          <w:rFonts w:ascii="SimSun" w:hAnsi="SimSun" w:eastAsia="SimSun" w:cs="SimSun"/>
          <w:sz w:val="17"/>
          <w:szCs w:val="17"/>
          <w:color w:val="333333"/>
          <w:spacing w:val="53"/>
          <w:w w:val="101"/>
        </w:rPr>
        <w:t> </w:t>
      </w:r>
      <w:r>
        <w:rPr>
          <w:rFonts w:ascii="SimSun" w:hAnsi="SimSun" w:eastAsia="SimSun" w:cs="SimSun"/>
          <w:sz w:val="17"/>
          <w:szCs w:val="17"/>
          <w:color w:val="333333"/>
          <w:spacing w:val="-2"/>
        </w:rPr>
        <w:t>。</w:t>
      </w:r>
      <w:r>
        <w:rPr>
          <w:rFonts w:ascii="SimSun" w:hAnsi="SimSun" w:eastAsia="SimSun" w:cs="SimSun"/>
          <w:sz w:val="17"/>
          <w:szCs w:val="17"/>
          <w:color w:val="333333"/>
          <w:spacing w:val="-82"/>
        </w:rPr>
        <w:t> </w:t>
      </w:r>
      <w:r>
        <w:rPr>
          <w:rFonts w:ascii="SimSun" w:hAnsi="SimSun" w:eastAsia="SimSun" w:cs="SimSun"/>
          <w:sz w:val="17"/>
          <w:szCs w:val="17"/>
          <w:color w:val="333333"/>
          <w:spacing w:val="-2"/>
        </w:rPr>
        <w:t>《会计法》</w:t>
      </w:r>
      <w:r>
        <w:rPr>
          <w:rFonts w:ascii="SimSun" w:hAnsi="SimSun" w:eastAsia="SimSun" w:cs="SimSun"/>
          <w:sz w:val="17"/>
          <w:szCs w:val="17"/>
          <w:color w:val="333333"/>
          <w:spacing w:val="15"/>
        </w:rPr>
        <w:t> </w:t>
      </w:r>
      <w:r>
        <w:rPr>
          <w:rFonts w:ascii="SimSun" w:hAnsi="SimSun" w:eastAsia="SimSun" w:cs="SimSun"/>
          <w:sz w:val="17"/>
          <w:szCs w:val="17"/>
          <w:color w:val="333333"/>
          <w:spacing w:val="-2"/>
        </w:rPr>
        <w:t>明确提出了会计核算工作可以借助于电子计算机完成，使用电子计算机进</w:t>
      </w:r>
      <w:r>
        <w:rPr>
          <w:rFonts w:ascii="SimSun" w:hAnsi="SimSun" w:eastAsia="SimSun" w:cs="SimSun"/>
          <w:sz w:val="17"/>
          <w:szCs w:val="17"/>
          <w:color w:val="333333"/>
        </w:rPr>
        <w:t> </w:t>
      </w:r>
      <w:r>
        <w:rPr>
          <w:rFonts w:ascii="SimSun" w:hAnsi="SimSun" w:eastAsia="SimSun" w:cs="SimSun"/>
          <w:sz w:val="17"/>
          <w:szCs w:val="17"/>
          <w:color w:val="333333"/>
          <w:spacing w:val="5"/>
        </w:rPr>
        <w:t>行会计核算的，其软件及其生成的会计凭证、会计账簿、财务会计报告和其他会计资料，必须符合国家统一的会计制度的规定。</w:t>
      </w:r>
      <w:r>
        <w:rPr>
          <w:rFonts w:ascii="SimSun" w:hAnsi="SimSun" w:eastAsia="SimSun" w:cs="SimSun"/>
          <w:sz w:val="17"/>
          <w:szCs w:val="17"/>
          <w:color w:val="333333"/>
          <w:spacing w:val="49"/>
        </w:rPr>
        <w:t> </w:t>
      </w:r>
      <w:r>
        <w:rPr>
          <w:rFonts w:ascii="SimSun" w:hAnsi="SimSun" w:eastAsia="SimSun" w:cs="SimSun"/>
          <w:sz w:val="17"/>
          <w:szCs w:val="17"/>
          <w:color w:val="333333"/>
          <w:spacing w:val="1"/>
        </w:rPr>
        <w:t>“十四五”期间，财政部将加快推进《会计法》</w:t>
      </w:r>
      <w:r>
        <w:rPr>
          <w:rFonts w:ascii="SimSun" w:hAnsi="SimSun" w:eastAsia="SimSun" w:cs="SimSun"/>
          <w:sz w:val="17"/>
          <w:szCs w:val="17"/>
          <w:color w:val="333333"/>
          <w:spacing w:val="17"/>
        </w:rPr>
        <w:t> </w:t>
      </w:r>
      <w:r>
        <w:rPr>
          <w:rFonts w:ascii="SimSun" w:hAnsi="SimSun" w:eastAsia="SimSun" w:cs="SimSun"/>
          <w:sz w:val="17"/>
          <w:szCs w:val="17"/>
          <w:color w:val="333333"/>
          <w:spacing w:val="1"/>
        </w:rPr>
        <w:t>修订工作，进一步明确单位使用会计核算信息系统开展会计核算工作应当遵循会计</w:t>
      </w:r>
      <w:r>
        <w:rPr>
          <w:rFonts w:ascii="SimSun" w:hAnsi="SimSun" w:eastAsia="SimSun" w:cs="SimSun"/>
          <w:sz w:val="17"/>
          <w:szCs w:val="17"/>
          <w:color w:val="333333"/>
        </w:rPr>
        <w:t> </w:t>
      </w:r>
      <w:r>
        <w:rPr>
          <w:rFonts w:ascii="SimSun" w:hAnsi="SimSun" w:eastAsia="SimSun" w:cs="SimSun"/>
          <w:sz w:val="17"/>
          <w:szCs w:val="17"/>
          <w:color w:val="333333"/>
          <w:spacing w:val="1"/>
        </w:rPr>
        <w:t>信息化工作规范和统一的会计数据标准，为单位开展会计信息化建设、推动会计数字化转型提供法治保障。</w:t>
      </w:r>
    </w:p>
    <w:p>
      <w:pPr>
        <w:ind w:left="1043" w:right="1016" w:firstLine="348"/>
        <w:spacing w:before="108" w:line="327" w:lineRule="auto"/>
        <w:rPr>
          <w:rFonts w:ascii="SimSun" w:hAnsi="SimSun" w:eastAsia="SimSun" w:cs="SimSun"/>
          <w:sz w:val="17"/>
          <w:szCs w:val="17"/>
        </w:rPr>
      </w:pPr>
      <w:r>
        <w:rPr>
          <w:rFonts w:ascii="SimSun" w:hAnsi="SimSun" w:eastAsia="SimSun" w:cs="SimSun"/>
          <w:sz w:val="17"/>
          <w:szCs w:val="17"/>
          <w:color w:val="333333"/>
        </w:rPr>
        <w:t>2.制定完善会计信息化工作规范和软件功能规范。现行的《企业会计信息化工作规范》</w:t>
      </w:r>
      <w:r>
        <w:rPr>
          <w:rFonts w:ascii="SimSun" w:hAnsi="SimSun" w:eastAsia="SimSun" w:cs="SimSun"/>
          <w:sz w:val="17"/>
          <w:szCs w:val="17"/>
          <w:color w:val="333333"/>
          <w:spacing w:val="56"/>
        </w:rPr>
        <w:t> </w:t>
      </w:r>
      <w:r>
        <w:rPr>
          <w:rFonts w:ascii="SimSun" w:hAnsi="SimSun" w:eastAsia="SimSun" w:cs="SimSun"/>
          <w:sz w:val="17"/>
          <w:szCs w:val="17"/>
          <w:color w:val="333333"/>
        </w:rPr>
        <w:t>明确了企业使用的会计软件应当具备的</w:t>
      </w:r>
      <w:r>
        <w:rPr>
          <w:rFonts w:ascii="SimSun" w:hAnsi="SimSun" w:eastAsia="SimSun" w:cs="SimSun"/>
          <w:sz w:val="17"/>
          <w:szCs w:val="17"/>
          <w:color w:val="333333"/>
        </w:rPr>
        <w:t> </w:t>
      </w:r>
      <w:r>
        <w:rPr>
          <w:rFonts w:ascii="SimSun" w:hAnsi="SimSun" w:eastAsia="SimSun" w:cs="SimSun"/>
          <w:sz w:val="17"/>
          <w:szCs w:val="17"/>
          <w:color w:val="333333"/>
          <w:spacing w:val="1"/>
        </w:rPr>
        <w:t>基本功能，但未针对数字化环境下的会计工作实务进行更有针对性的规范。此外，</w:t>
      </w:r>
      <w:r>
        <w:rPr>
          <w:rFonts w:ascii="SimSun" w:hAnsi="SimSun" w:eastAsia="SimSun" w:cs="SimSun"/>
          <w:sz w:val="17"/>
          <w:szCs w:val="17"/>
          <w:color w:val="333333"/>
          <w:spacing w:val="7"/>
        </w:rPr>
        <w:t> </w:t>
      </w:r>
      <w:r>
        <w:rPr>
          <w:rFonts w:ascii="SimSun" w:hAnsi="SimSun" w:eastAsia="SimSun" w:cs="SimSun"/>
          <w:sz w:val="17"/>
          <w:szCs w:val="17"/>
          <w:color w:val="333333"/>
          <w:spacing w:val="1"/>
        </w:rPr>
        <w:t>目前很多会计软件的功能集中在会计核算工作领</w:t>
      </w:r>
      <w:r>
        <w:rPr>
          <w:rFonts w:ascii="SimSun" w:hAnsi="SimSun" w:eastAsia="SimSun" w:cs="SimSun"/>
          <w:sz w:val="17"/>
          <w:szCs w:val="17"/>
          <w:color w:val="333333"/>
        </w:rPr>
        <w:t> </w:t>
      </w:r>
      <w:r>
        <w:rPr>
          <w:rFonts w:ascii="SimSun" w:hAnsi="SimSun" w:eastAsia="SimSun" w:cs="SimSun"/>
          <w:sz w:val="17"/>
          <w:szCs w:val="17"/>
          <w:color w:val="333333"/>
          <w:spacing w:val="2"/>
        </w:rPr>
        <w:t>域，并未对管理会计等会计职能拓展领域作出原则性规定，适用范围也仅限于企业。</w:t>
      </w:r>
      <w:r>
        <w:rPr>
          <w:rFonts w:ascii="SimSun" w:hAnsi="SimSun" w:eastAsia="SimSun" w:cs="SimSun"/>
          <w:sz w:val="17"/>
          <w:szCs w:val="17"/>
          <w:color w:val="333333"/>
          <w:spacing w:val="-50"/>
        </w:rPr>
        <w:t> </w:t>
      </w:r>
      <w:r>
        <w:rPr>
          <w:rFonts w:ascii="SimSun" w:hAnsi="SimSun" w:eastAsia="SimSun" w:cs="SimSun"/>
          <w:sz w:val="17"/>
          <w:szCs w:val="17"/>
          <w:color w:val="333333"/>
          <w:spacing w:val="2"/>
        </w:rPr>
        <w:t>“十四五”期间，财政部将在制定实施统一的</w:t>
      </w:r>
      <w:r>
        <w:rPr>
          <w:rFonts w:ascii="SimSun" w:hAnsi="SimSun" w:eastAsia="SimSun" w:cs="SimSun"/>
          <w:sz w:val="17"/>
          <w:szCs w:val="17"/>
          <w:color w:val="333333"/>
        </w:rPr>
        <w:t> </w:t>
      </w:r>
      <w:r>
        <w:rPr>
          <w:rFonts w:ascii="SimSun" w:hAnsi="SimSun" w:eastAsia="SimSun" w:cs="SimSun"/>
          <w:sz w:val="17"/>
          <w:szCs w:val="17"/>
          <w:color w:val="333333"/>
          <w:spacing w:val="5"/>
        </w:rPr>
        <w:t>会计数据标准的同时，完善会计信息化工作规范，制定软件功能规范，夯实规范信息化环境下的会计基础工作，提高财务软件质</w:t>
      </w:r>
      <w:r>
        <w:rPr>
          <w:rFonts w:ascii="SimSun" w:hAnsi="SimSun" w:eastAsia="SimSun" w:cs="SimSun"/>
          <w:sz w:val="17"/>
          <w:szCs w:val="17"/>
          <w:color w:val="333333"/>
          <w:spacing w:val="39"/>
        </w:rPr>
        <w:t> </w:t>
      </w:r>
      <w:r>
        <w:rPr>
          <w:rFonts w:ascii="SimSun" w:hAnsi="SimSun" w:eastAsia="SimSun" w:cs="SimSun"/>
          <w:sz w:val="17"/>
          <w:szCs w:val="17"/>
          <w:color w:val="333333"/>
        </w:rPr>
        <w:t>量，为会计数字化转型提供制度支撑。</w:t>
      </w:r>
    </w:p>
    <w:p>
      <w:pPr>
        <w:ind w:left="1044" w:right="1016" w:firstLine="348"/>
        <w:spacing w:before="108" w:line="327" w:lineRule="auto"/>
        <w:rPr>
          <w:rFonts w:ascii="SimSun" w:hAnsi="SimSun" w:eastAsia="SimSun" w:cs="SimSun"/>
          <w:sz w:val="17"/>
          <w:szCs w:val="17"/>
        </w:rPr>
      </w:pPr>
      <w:r>
        <w:rPr>
          <w:rFonts w:ascii="SimSun" w:hAnsi="SimSun" w:eastAsia="SimSun" w:cs="SimSun"/>
          <w:sz w:val="17"/>
          <w:szCs w:val="17"/>
          <w:color w:val="333333"/>
          <w:spacing w:val="2"/>
        </w:rPr>
        <w:t>3.探索建立会计信息化工作分级分类评估制度和财务软件功能第三方认证制度。财政部将根据会计信息化工作的特点，综合运</w:t>
      </w:r>
      <w:r>
        <w:rPr>
          <w:rFonts w:ascii="SimSun" w:hAnsi="SimSun" w:eastAsia="SimSun" w:cs="SimSun"/>
          <w:sz w:val="17"/>
          <w:szCs w:val="17"/>
          <w:color w:val="333333"/>
          <w:spacing w:val="27"/>
        </w:rPr>
        <w:t> </w:t>
      </w:r>
      <w:r>
        <w:rPr>
          <w:rFonts w:ascii="SimSun" w:hAnsi="SimSun" w:eastAsia="SimSun" w:cs="SimSun"/>
          <w:sz w:val="17"/>
          <w:szCs w:val="17"/>
          <w:color w:val="333333"/>
          <w:spacing w:val="2"/>
        </w:rPr>
        <w:t>用顶层设计、系统建设、应用实践等多维指标，探索建立企事业单位会计信息化工作分级分类评估制度。同时，探索建立由财政部</w:t>
      </w:r>
      <w:r>
        <w:rPr>
          <w:rFonts w:ascii="SimSun" w:hAnsi="SimSun" w:eastAsia="SimSun" w:cs="SimSun"/>
          <w:sz w:val="17"/>
          <w:szCs w:val="17"/>
          <w:color w:val="333333"/>
          <w:spacing w:val="33"/>
          <w:w w:val="101"/>
        </w:rPr>
        <w:t> </w:t>
      </w:r>
      <w:r>
        <w:rPr>
          <w:rFonts w:ascii="SimSun" w:hAnsi="SimSun" w:eastAsia="SimSun" w:cs="SimSun"/>
          <w:sz w:val="17"/>
          <w:szCs w:val="17"/>
          <w:color w:val="333333"/>
          <w:spacing w:val="2"/>
        </w:rPr>
        <w:t>门牵头的财务软件功能第三方认证制度，指导和帮助企事业单位执行财务软件功能规范或选择符合功能规范的财务软件，督促单位</w:t>
      </w:r>
      <w:r>
        <w:rPr>
          <w:rFonts w:ascii="SimSun" w:hAnsi="SimSun" w:eastAsia="SimSun" w:cs="SimSun"/>
          <w:sz w:val="17"/>
          <w:szCs w:val="17"/>
          <w:color w:val="333333"/>
          <w:spacing w:val="33"/>
          <w:w w:val="101"/>
        </w:rPr>
        <w:t> </w:t>
      </w:r>
      <w:r>
        <w:rPr>
          <w:rFonts w:ascii="SimSun" w:hAnsi="SimSun" w:eastAsia="SimSun" w:cs="SimSun"/>
          <w:sz w:val="17"/>
          <w:szCs w:val="17"/>
          <w:color w:val="333333"/>
        </w:rPr>
        <w:t>提升会计信息化水平，推动会计数据标准全面实施。</w:t>
      </w:r>
    </w:p>
    <w:p>
      <w:pPr>
        <w:ind w:firstLine="1394"/>
        <w:spacing w:before="107" w:line="187" w:lineRule="auto"/>
        <w:rPr>
          <w:rFonts w:ascii="SimSun" w:hAnsi="SimSun" w:eastAsia="SimSun" w:cs="SimSun"/>
          <w:sz w:val="17"/>
          <w:szCs w:val="17"/>
        </w:rPr>
      </w:pPr>
      <w:r>
        <w:rPr>
          <w:rFonts w:ascii="SimSun" w:hAnsi="SimSun" w:eastAsia="SimSun" w:cs="SimSun"/>
          <w:sz w:val="17"/>
          <w:szCs w:val="17"/>
          <w:color w:val="333333"/>
          <w:spacing w:val="1"/>
        </w:rPr>
        <w:t>（三）深入推动单位业财融合和会计职能拓展，加快推进单位会计工作数字化转型。</w:t>
      </w:r>
    </w:p>
    <w:p>
      <w:pPr>
        <w:ind w:left="1044" w:right="1016" w:firstLine="357"/>
        <w:spacing w:before="237" w:line="327" w:lineRule="auto"/>
        <w:rPr>
          <w:rFonts w:ascii="SimSun" w:hAnsi="SimSun" w:eastAsia="SimSun" w:cs="SimSun"/>
          <w:sz w:val="17"/>
          <w:szCs w:val="17"/>
        </w:rPr>
      </w:pPr>
      <w:r>
        <w:rPr>
          <w:rFonts w:ascii="SimSun" w:hAnsi="SimSun" w:eastAsia="SimSun" w:cs="SimSun"/>
          <w:sz w:val="17"/>
          <w:szCs w:val="17"/>
          <w:color w:val="333333"/>
          <w:spacing w:val="2"/>
        </w:rPr>
        <w:t>1.深入推动单位业财融合建设。通过会计信息的标准化和数字化建设，推动企事业单位深入开展业财融合，充分运用各类信息</w:t>
      </w:r>
      <w:r>
        <w:rPr>
          <w:rFonts w:ascii="SimSun" w:hAnsi="SimSun" w:eastAsia="SimSun" w:cs="SimSun"/>
          <w:sz w:val="17"/>
          <w:szCs w:val="17"/>
          <w:color w:val="333333"/>
          <w:spacing w:val="18"/>
        </w:rPr>
        <w:t> </w:t>
      </w:r>
      <w:r>
        <w:rPr>
          <w:rFonts w:ascii="SimSun" w:hAnsi="SimSun" w:eastAsia="SimSun" w:cs="SimSun"/>
          <w:sz w:val="17"/>
          <w:szCs w:val="17"/>
          <w:color w:val="333333"/>
          <w:spacing w:val="1"/>
        </w:rPr>
        <w:t>技术，探索形成可扩展、可聚合、可比对的会计数据要素，提升数据治理水平。</w:t>
      </w:r>
    </w:p>
    <w:p>
      <w:pPr>
        <w:ind w:left="1043" w:right="1016" w:firstLine="348"/>
        <w:spacing w:before="108" w:line="327" w:lineRule="auto"/>
        <w:rPr>
          <w:rFonts w:ascii="SimSun" w:hAnsi="SimSun" w:eastAsia="SimSun" w:cs="SimSun"/>
          <w:sz w:val="17"/>
          <w:szCs w:val="17"/>
        </w:rPr>
      </w:pPr>
      <w:r>
        <w:rPr>
          <w:rFonts w:ascii="SimSun" w:hAnsi="SimSun" w:eastAsia="SimSun" w:cs="SimSun"/>
          <w:sz w:val="17"/>
          <w:szCs w:val="17"/>
          <w:color w:val="333333"/>
          <w:spacing w:val="2"/>
        </w:rPr>
        <w:t>2.深入推动单位会计职能拓展。积极引导单位借助会计信息化手段夯实应用管理会计的数据基础，推动单位开展个性化、有针</w:t>
      </w:r>
      <w:r>
        <w:rPr>
          <w:rFonts w:ascii="SimSun" w:hAnsi="SimSun" w:eastAsia="SimSun" w:cs="SimSun"/>
          <w:sz w:val="17"/>
          <w:szCs w:val="17"/>
          <w:color w:val="333333"/>
          <w:spacing w:val="29"/>
        </w:rPr>
        <w:t> </w:t>
      </w:r>
      <w:r>
        <w:rPr>
          <w:rFonts w:ascii="SimSun" w:hAnsi="SimSun" w:eastAsia="SimSun" w:cs="SimSun"/>
          <w:sz w:val="17"/>
          <w:szCs w:val="17"/>
          <w:color w:val="333333"/>
          <w:spacing w:val="2"/>
        </w:rPr>
        <w:t>对性的管理会计活动，探索在数字经济和新技术赋能单位管理会计的可行性，加强绩效管理，增强价值创造能力。完善新技术影响</w:t>
      </w:r>
      <w:r>
        <w:rPr>
          <w:rFonts w:ascii="SimSun" w:hAnsi="SimSun" w:eastAsia="SimSun" w:cs="SimSun"/>
          <w:sz w:val="17"/>
          <w:szCs w:val="17"/>
          <w:color w:val="333333"/>
          <w:spacing w:val="35"/>
        </w:rPr>
        <w:t> </w:t>
      </w:r>
      <w:r>
        <w:rPr>
          <w:rFonts w:ascii="SimSun" w:hAnsi="SimSun" w:eastAsia="SimSun" w:cs="SimSun"/>
          <w:sz w:val="17"/>
          <w:szCs w:val="17"/>
          <w:color w:val="333333"/>
          <w:spacing w:val="1"/>
        </w:rPr>
        <w:t>下的内部控制信息化配套建设，推动内部控制制度有效实施。推动乡镇街道等基层单位运用信息化手段，提升内部控制水平。</w:t>
      </w:r>
    </w:p>
    <w:p>
      <w:pPr>
        <w:ind w:left="1046" w:right="1016" w:firstLine="346"/>
        <w:spacing w:before="107" w:line="327" w:lineRule="auto"/>
        <w:rPr>
          <w:rFonts w:ascii="SimSun" w:hAnsi="SimSun" w:eastAsia="SimSun" w:cs="SimSun"/>
          <w:sz w:val="17"/>
          <w:szCs w:val="17"/>
        </w:rPr>
      </w:pPr>
      <w:r>
        <w:rPr>
          <w:rFonts w:ascii="SimSun" w:hAnsi="SimSun" w:eastAsia="SimSun" w:cs="SimSun"/>
          <w:sz w:val="17"/>
          <w:szCs w:val="17"/>
          <w:color w:val="333333"/>
          <w:spacing w:val="2"/>
        </w:rPr>
        <w:t>3.发挥会计信息化在可持续报告编报中的作用。积极推动企事业单位使用信息化手段开展可持续报告编报工作，提升单位可持</w:t>
      </w:r>
      <w:r>
        <w:rPr>
          <w:rFonts w:ascii="SimSun" w:hAnsi="SimSun" w:eastAsia="SimSun" w:cs="SimSun"/>
          <w:sz w:val="17"/>
          <w:szCs w:val="17"/>
          <w:color w:val="333333"/>
          <w:spacing w:val="27"/>
        </w:rPr>
        <w:t> </w:t>
      </w:r>
      <w:r>
        <w:rPr>
          <w:rFonts w:ascii="SimSun" w:hAnsi="SimSun" w:eastAsia="SimSun" w:cs="SimSun"/>
          <w:sz w:val="17"/>
          <w:szCs w:val="17"/>
          <w:color w:val="333333"/>
          <w:spacing w:val="1"/>
        </w:rPr>
        <w:t>续发展能力，加强社会责任管理，同时为可持续视角下的企业估值提供支撑，促进资源合理配置。</w:t>
      </w:r>
    </w:p>
    <w:p>
      <w:pPr>
        <w:ind w:firstLine="1394"/>
        <w:spacing w:before="108" w:line="187" w:lineRule="auto"/>
        <w:rPr>
          <w:rFonts w:ascii="SimSun" w:hAnsi="SimSun" w:eastAsia="SimSun" w:cs="SimSun"/>
          <w:sz w:val="17"/>
          <w:szCs w:val="17"/>
        </w:rPr>
      </w:pPr>
      <w:r>
        <w:rPr>
          <w:rFonts w:ascii="SimSun" w:hAnsi="SimSun" w:eastAsia="SimSun" w:cs="SimSun"/>
          <w:sz w:val="17"/>
          <w:szCs w:val="17"/>
          <w:color w:val="333333"/>
          <w:spacing w:val="1"/>
        </w:rPr>
        <w:t>（四）加强函证数字化和注册会计师审计报告防伪等系统建设，积极推进审计工作数字化转型。</w:t>
      </w:r>
    </w:p>
    <w:p>
      <w:pPr>
        <w:ind w:left="1050" w:right="1016" w:firstLine="352"/>
        <w:spacing w:before="237" w:line="327" w:lineRule="auto"/>
        <w:rPr>
          <w:rFonts w:ascii="SimSun" w:hAnsi="SimSun" w:eastAsia="SimSun" w:cs="SimSun"/>
          <w:sz w:val="17"/>
          <w:szCs w:val="17"/>
        </w:rPr>
      </w:pPr>
      <w:r>
        <w:rPr>
          <w:rFonts w:ascii="SimSun" w:hAnsi="SimSun" w:eastAsia="SimSun" w:cs="SimSun"/>
          <w:sz w:val="17"/>
          <w:szCs w:val="17"/>
          <w:color w:val="333333"/>
          <w:spacing w:val="2"/>
        </w:rPr>
        <w:t>1.加快构建注册会计师行业数据标准体系。围绕注册会计师行业审计数据采集、审计报告电子化、行业管理服务数据、电子签</w:t>
      </w:r>
      <w:r>
        <w:rPr>
          <w:rFonts w:ascii="SimSun" w:hAnsi="SimSun" w:eastAsia="SimSun" w:cs="SimSun"/>
          <w:sz w:val="17"/>
          <w:szCs w:val="17"/>
          <w:color w:val="333333"/>
          <w:spacing w:val="18"/>
        </w:rPr>
        <w:t> </w:t>
      </w:r>
      <w:r>
        <w:rPr>
          <w:rFonts w:ascii="SimSun" w:hAnsi="SimSun" w:eastAsia="SimSun" w:cs="SimSun"/>
          <w:sz w:val="17"/>
          <w:szCs w:val="17"/>
          <w:color w:val="333333"/>
          <w:spacing w:val="1"/>
        </w:rPr>
        <w:t>章与证照等领域，构建注册会计师行业数据标准体系，发挥数据要素对注册会计师行业的创新引领作用。</w:t>
      </w:r>
    </w:p>
    <w:p>
      <w:pPr>
        <w:ind w:left="1052" w:right="1016" w:firstLine="338"/>
        <w:spacing w:before="108" w:line="327" w:lineRule="auto"/>
        <w:rPr>
          <w:rFonts w:ascii="SimSun" w:hAnsi="SimSun" w:eastAsia="SimSun" w:cs="SimSun"/>
          <w:sz w:val="17"/>
          <w:szCs w:val="17"/>
        </w:rPr>
      </w:pPr>
      <w:r>
        <w:rPr>
          <w:rFonts w:ascii="SimSun" w:hAnsi="SimSun" w:eastAsia="SimSun" w:cs="SimSun"/>
          <w:sz w:val="17"/>
          <w:szCs w:val="17"/>
          <w:color w:val="333333"/>
          <w:spacing w:val="2"/>
        </w:rPr>
        <w:t>2.鼓励会计师事务所进行数字化转型，积极探索注册会计师审计工作数字化转型。在大数据、人工智能、区块链等新技术的影</w:t>
      </w:r>
      <w:r>
        <w:rPr>
          <w:rFonts w:ascii="SimSun" w:hAnsi="SimSun" w:eastAsia="SimSun" w:cs="SimSun"/>
          <w:sz w:val="17"/>
          <w:szCs w:val="17"/>
          <w:color w:val="333333"/>
          <w:spacing w:val="29"/>
        </w:rPr>
        <w:t> </w:t>
      </w:r>
      <w:r>
        <w:rPr>
          <w:rFonts w:ascii="SimSun" w:hAnsi="SimSun" w:eastAsia="SimSun" w:cs="SimSun"/>
          <w:sz w:val="17"/>
          <w:szCs w:val="17"/>
          <w:color w:val="333333"/>
          <w:spacing w:val="1"/>
        </w:rPr>
        <w:t>响下，推动审计工作信息系统数字化，鼓励会计师事务所积极探索全流程的审计作业数字化、智能化。</w:t>
      </w:r>
    </w:p>
    <w:p>
      <w:pPr>
        <w:ind w:left="1046" w:right="1016" w:firstLine="352"/>
        <w:spacing w:before="108" w:line="327" w:lineRule="auto"/>
        <w:rPr>
          <w:rFonts w:ascii="SimSun" w:hAnsi="SimSun" w:eastAsia="SimSun" w:cs="SimSun"/>
          <w:sz w:val="17"/>
          <w:szCs w:val="17"/>
        </w:rPr>
      </w:pPr>
      <w:r>
        <w:rPr>
          <w:rFonts w:ascii="SimSun" w:hAnsi="SimSun" w:eastAsia="SimSun" w:cs="SimSun"/>
          <w:sz w:val="17"/>
          <w:szCs w:val="17"/>
          <w:color w:val="333333"/>
          <w:spacing w:val="5"/>
        </w:rPr>
        <w:t>3.推进审计函证数字化工作。制定、完善审计函证业务规范和数据标准，鼓励指导会计师事务所审计函证集中处理系统的建</w:t>
      </w:r>
      <w:r>
        <w:rPr>
          <w:rFonts w:ascii="SimSun" w:hAnsi="SimSun" w:eastAsia="SimSun" w:cs="SimSun"/>
          <w:sz w:val="17"/>
          <w:szCs w:val="17"/>
          <w:color w:val="333333"/>
          <w:spacing w:val="28"/>
        </w:rPr>
        <w:t> </w:t>
      </w:r>
      <w:r>
        <w:rPr>
          <w:rFonts w:ascii="SimSun" w:hAnsi="SimSun" w:eastAsia="SimSun" w:cs="SimSun"/>
          <w:sz w:val="17"/>
          <w:szCs w:val="17"/>
          <w:color w:val="333333"/>
          <w:spacing w:val="1"/>
        </w:rPr>
        <w:t>设，通过积极开展审计函证数字化试点工作，鼓励行业审计函证电子化平台发展和规范、有序、安全运行。</w:t>
      </w:r>
    </w:p>
    <w:p>
      <w:pPr>
        <w:ind w:left="1045" w:right="1016" w:firstLine="343"/>
        <w:spacing w:before="108" w:line="327" w:lineRule="auto"/>
        <w:rPr>
          <w:rFonts w:ascii="SimSun" w:hAnsi="SimSun" w:eastAsia="SimSun" w:cs="SimSun"/>
          <w:sz w:val="17"/>
          <w:szCs w:val="17"/>
        </w:rPr>
      </w:pPr>
      <w:r>
        <w:rPr>
          <w:rFonts w:ascii="SimSun" w:hAnsi="SimSun" w:eastAsia="SimSun" w:cs="SimSun"/>
          <w:sz w:val="17"/>
          <w:szCs w:val="17"/>
          <w:color w:val="333333"/>
          <w:spacing w:val="2"/>
        </w:rPr>
        <w:t>4.建立审计报告单一来源制度。建立健全审计报告单一来源制度，积极推动实现全国范围“一码通”</w:t>
      </w:r>
      <w:r>
        <w:rPr>
          <w:rFonts w:ascii="SimSun" w:hAnsi="SimSun" w:eastAsia="SimSun" w:cs="SimSun"/>
          <w:sz w:val="17"/>
          <w:szCs w:val="17"/>
          <w:color w:val="333333"/>
          <w:spacing w:val="-54"/>
        </w:rPr>
        <w:t> </w:t>
      </w:r>
      <w:r>
        <w:rPr>
          <w:rFonts w:ascii="SimSun" w:hAnsi="SimSun" w:eastAsia="SimSun" w:cs="SimSun"/>
          <w:sz w:val="17"/>
          <w:szCs w:val="17"/>
          <w:color w:val="333333"/>
          <w:spacing w:val="2"/>
        </w:rPr>
        <w:t>，相关监管部门可以获取</w:t>
      </w:r>
      <w:r>
        <w:rPr>
          <w:rFonts w:ascii="SimSun" w:hAnsi="SimSun" w:eastAsia="SimSun" w:cs="SimSun"/>
          <w:sz w:val="17"/>
          <w:szCs w:val="17"/>
          <w:color w:val="333333"/>
          <w:w w:val="101"/>
        </w:rPr>
        <w:t> </w:t>
      </w:r>
      <w:r>
        <w:rPr>
          <w:rFonts w:ascii="SimSun" w:hAnsi="SimSun" w:eastAsia="SimSun" w:cs="SimSun"/>
          <w:sz w:val="17"/>
          <w:szCs w:val="17"/>
          <w:color w:val="333333"/>
        </w:rPr>
        <w:t>单一来源的审计报告，从源头上治理虚假审计报告问题。</w:t>
      </w:r>
    </w:p>
    <w:p>
      <w:pPr>
        <w:ind w:firstLine="1394"/>
        <w:spacing w:before="107" w:line="187" w:lineRule="auto"/>
        <w:rPr>
          <w:rFonts w:ascii="SimSun" w:hAnsi="SimSun" w:eastAsia="SimSun" w:cs="SimSun"/>
          <w:sz w:val="17"/>
          <w:szCs w:val="17"/>
        </w:rPr>
      </w:pPr>
      <w:r>
        <w:rPr>
          <w:rFonts w:ascii="SimSun" w:hAnsi="SimSun" w:eastAsia="SimSun" w:cs="SimSun"/>
          <w:sz w:val="17"/>
          <w:szCs w:val="17"/>
          <w:color w:val="333333"/>
          <w:spacing w:val="1"/>
        </w:rPr>
        <w:t>（五）优化整合各类会计管理服务平台，切实推动会计管理工作数字化转型。</w:t>
      </w:r>
    </w:p>
    <w:p>
      <w:pPr>
        <w:ind w:left="1044" w:right="1016" w:firstLine="358"/>
        <w:spacing w:before="238" w:line="327" w:lineRule="auto"/>
        <w:rPr>
          <w:rFonts w:ascii="SimSun" w:hAnsi="SimSun" w:eastAsia="SimSun" w:cs="SimSun"/>
          <w:sz w:val="17"/>
          <w:szCs w:val="17"/>
        </w:rPr>
      </w:pPr>
      <w:r>
        <w:rPr>
          <w:rFonts w:ascii="SimSun" w:hAnsi="SimSun" w:eastAsia="SimSun" w:cs="SimSun"/>
          <w:sz w:val="17"/>
          <w:szCs w:val="17"/>
          <w:color w:val="333333"/>
          <w:spacing w:val="2"/>
        </w:rPr>
        <w:t>1.优化全国统一的会计人员管理服务平台。我国会计人员众多，会计人员信息是重要的数据资产。在目前全国会计人员管理服</w:t>
      </w:r>
      <w:r>
        <w:rPr>
          <w:rFonts w:ascii="SimSun" w:hAnsi="SimSun" w:eastAsia="SimSun" w:cs="SimSun"/>
          <w:sz w:val="17"/>
          <w:szCs w:val="17"/>
          <w:color w:val="333333"/>
          <w:spacing w:val="18"/>
        </w:rPr>
        <w:t> </w:t>
      </w:r>
      <w:r>
        <w:rPr>
          <w:rFonts w:ascii="SimSun" w:hAnsi="SimSun" w:eastAsia="SimSun" w:cs="SimSun"/>
          <w:sz w:val="17"/>
          <w:szCs w:val="17"/>
          <w:color w:val="333333"/>
          <w:spacing w:val="2"/>
        </w:rPr>
        <w:t>务平台以及各省会计人员管理服务平台的现有基础上，财政部将进一步优化全国统一的会计人员管理服务平台，健全机制，继续做</w:t>
      </w:r>
      <w:r>
        <w:rPr>
          <w:rFonts w:ascii="SimSun" w:hAnsi="SimSun" w:eastAsia="SimSun" w:cs="SimSun"/>
          <w:sz w:val="17"/>
          <w:szCs w:val="17"/>
          <w:color w:val="333333"/>
          <w:spacing w:val="34"/>
        </w:rPr>
        <w:t> </w:t>
      </w:r>
      <w:r>
        <w:rPr>
          <w:rFonts w:ascii="SimSun" w:hAnsi="SimSun" w:eastAsia="SimSun" w:cs="SimSun"/>
          <w:sz w:val="17"/>
          <w:szCs w:val="17"/>
          <w:color w:val="333333"/>
          <w:spacing w:val="1"/>
        </w:rPr>
        <w:t>好会计人员信息的采集、管理、维护和使用，有效发挥平台的监督管理和社会服务作用。</w:t>
      </w:r>
    </w:p>
    <w:p>
      <w:pPr>
        <w:ind w:firstLine="1397"/>
        <w:spacing w:before="107" w:line="187" w:lineRule="auto"/>
        <w:rPr>
          <w:rFonts w:ascii="SimSun" w:hAnsi="SimSun" w:eastAsia="SimSun" w:cs="SimSun"/>
          <w:sz w:val="17"/>
          <w:szCs w:val="17"/>
        </w:rPr>
      </w:pPr>
      <w:r>
        <w:rPr>
          <w:rFonts w:ascii="SimSun" w:hAnsi="SimSun" w:eastAsia="SimSun" w:cs="SimSun"/>
          <w:sz w:val="17"/>
          <w:szCs w:val="17"/>
          <w:color w:val="333333"/>
          <w:spacing w:val="5"/>
        </w:rPr>
        <w:t>2.构建注册会计师行业统一监管信息平台。借助于新技术，结合信息化和数字化手段，构建注册会计师行业统一监管信息平</w:t>
      </w:r>
    </w:p>
    <w:p>
      <w:pPr>
        <w:ind w:left="1043" w:right="1016" w:firstLine="14"/>
        <w:spacing w:before="130" w:line="327" w:lineRule="auto"/>
        <w:rPr>
          <w:rFonts w:ascii="SimSun" w:hAnsi="SimSun" w:eastAsia="SimSun" w:cs="SimSun"/>
          <w:sz w:val="17"/>
          <w:szCs w:val="17"/>
        </w:rPr>
      </w:pPr>
      <w:r>
        <w:rPr>
          <w:rFonts w:ascii="SimSun" w:hAnsi="SimSun" w:eastAsia="SimSun" w:cs="SimSun"/>
          <w:sz w:val="17"/>
          <w:szCs w:val="17"/>
          <w:color w:val="333333"/>
          <w:spacing w:val="5"/>
        </w:rPr>
        <w:t>台，通过业务报备、电子证照和签章等手段，加强日常监测，提升监管效率和水平。此外，进一步加大会计师事务所信息披露力</w:t>
      </w:r>
      <w:r>
        <w:rPr>
          <w:rFonts w:ascii="SimSun" w:hAnsi="SimSun" w:eastAsia="SimSun" w:cs="SimSun"/>
          <w:sz w:val="17"/>
          <w:szCs w:val="17"/>
          <w:color w:val="333333"/>
          <w:spacing w:val="25"/>
        </w:rPr>
        <w:t> </w:t>
      </w:r>
      <w:r>
        <w:rPr>
          <w:rFonts w:ascii="SimSun" w:hAnsi="SimSun" w:eastAsia="SimSun" w:cs="SimSun"/>
          <w:sz w:val="17"/>
          <w:szCs w:val="17"/>
          <w:color w:val="333333"/>
        </w:rPr>
        <w:t>度，确保单位选聘会计师事务所所需信息的真实性和可靠性。</w:t>
      </w:r>
    </w:p>
    <w:p>
      <w:pPr>
        <w:ind w:left="1043" w:right="1016" w:firstLine="349"/>
        <w:spacing w:before="108" w:line="327" w:lineRule="auto"/>
        <w:rPr>
          <w:rFonts w:ascii="SimSun" w:hAnsi="SimSun" w:eastAsia="SimSun" w:cs="SimSun"/>
          <w:sz w:val="17"/>
          <w:szCs w:val="17"/>
        </w:rPr>
      </w:pPr>
      <w:r>
        <w:rPr>
          <w:rFonts w:ascii="SimSun" w:hAnsi="SimSun" w:eastAsia="SimSun" w:cs="SimSun"/>
          <w:sz w:val="17"/>
          <w:szCs w:val="17"/>
          <w:color w:val="333333"/>
          <w:spacing w:val="2"/>
        </w:rPr>
        <w:t>3.升级全国代理记账机构管理系统。基于会计数字化转型，借助大数据、人工智能、知识图谱等新技术，升级全国代理记账机</w:t>
      </w:r>
      <w:r>
        <w:rPr>
          <w:rFonts w:ascii="SimSun" w:hAnsi="SimSun" w:eastAsia="SimSun" w:cs="SimSun"/>
          <w:sz w:val="17"/>
          <w:szCs w:val="17"/>
          <w:color w:val="333333"/>
          <w:spacing w:val="27"/>
        </w:rPr>
        <w:t> </w:t>
      </w:r>
      <w:r>
        <w:rPr>
          <w:rFonts w:ascii="SimSun" w:hAnsi="SimSun" w:eastAsia="SimSun" w:cs="SimSun"/>
          <w:sz w:val="17"/>
          <w:szCs w:val="17"/>
          <w:color w:val="333333"/>
          <w:spacing w:val="2"/>
        </w:rPr>
        <w:t>构管理系统，实现全国会计管理部门对行业发展的态势感知，确保各地会计管理部门对本地行业发展的实时掌握。同时，健全完善</w:t>
      </w:r>
      <w:r>
        <w:rPr>
          <w:rFonts w:ascii="SimSun" w:hAnsi="SimSun" w:eastAsia="SimSun" w:cs="SimSun"/>
          <w:sz w:val="17"/>
          <w:szCs w:val="17"/>
          <w:color w:val="333333"/>
          <w:spacing w:val="35"/>
        </w:rPr>
        <w:t> </w:t>
      </w:r>
      <w:r>
        <w:rPr>
          <w:rFonts w:ascii="SimSun" w:hAnsi="SimSun" w:eastAsia="SimSun" w:cs="SimSun"/>
          <w:sz w:val="17"/>
          <w:szCs w:val="17"/>
          <w:color w:val="333333"/>
          <w:spacing w:val="1"/>
        </w:rPr>
        <w:t>代理记账机构的信用信息公示制度，进一步提升代理记账行业事中事后监管效能。</w:t>
      </w:r>
    </w:p>
    <w:p>
      <w:pPr>
        <w:ind w:left="1044" w:right="1016" w:firstLine="344"/>
        <w:spacing w:before="108" w:line="327" w:lineRule="auto"/>
        <w:rPr>
          <w:rFonts w:ascii="SimSun" w:hAnsi="SimSun" w:eastAsia="SimSun" w:cs="SimSun"/>
          <w:sz w:val="17"/>
          <w:szCs w:val="17"/>
        </w:rPr>
      </w:pPr>
      <w:r>
        <w:rPr>
          <w:rFonts w:ascii="SimSun" w:hAnsi="SimSun" w:eastAsia="SimSun" w:cs="SimSun"/>
          <w:sz w:val="17"/>
          <w:szCs w:val="17"/>
          <w:color w:val="333333"/>
          <w:spacing w:val="2"/>
        </w:rPr>
        <w:t>4.系统重塑会计管理服务平台。会计管理服务平台是服务会计机构、会计人员的重要手段。</w:t>
      </w:r>
      <w:r>
        <w:rPr>
          <w:rFonts w:ascii="SimSun" w:hAnsi="SimSun" w:eastAsia="SimSun" w:cs="SimSun"/>
          <w:sz w:val="17"/>
          <w:szCs w:val="17"/>
          <w:color w:val="333333"/>
          <w:spacing w:val="-54"/>
        </w:rPr>
        <w:t> </w:t>
      </w:r>
      <w:r>
        <w:rPr>
          <w:rFonts w:ascii="SimSun" w:hAnsi="SimSun" w:eastAsia="SimSun" w:cs="SimSun"/>
          <w:sz w:val="17"/>
          <w:szCs w:val="17"/>
          <w:color w:val="333333"/>
          <w:spacing w:val="2"/>
        </w:rPr>
        <w:t>“十四五”期间，财政部将在现有</w:t>
      </w:r>
      <w:r>
        <w:rPr>
          <w:rFonts w:ascii="SimSun" w:hAnsi="SimSun" w:eastAsia="SimSun" w:cs="SimSun"/>
          <w:sz w:val="17"/>
          <w:szCs w:val="17"/>
          <w:color w:val="333333"/>
          <w:w w:val="101"/>
        </w:rPr>
        <w:t> </w:t>
      </w:r>
      <w:r>
        <w:rPr>
          <w:rFonts w:ascii="SimSun" w:hAnsi="SimSun" w:eastAsia="SimSun" w:cs="SimSun"/>
          <w:sz w:val="17"/>
          <w:szCs w:val="17"/>
          <w:color w:val="333333"/>
          <w:spacing w:val="2"/>
        </w:rPr>
        <w:t>基础上系统地重塑会计管理服务平台，稳步推进会计行业管理信息化建设，运用会计行业管理大数据，为国家治理体系和治理能力</w:t>
      </w:r>
      <w:r>
        <w:rPr>
          <w:rFonts w:ascii="SimSun" w:hAnsi="SimSun" w:eastAsia="SimSun" w:cs="SimSun"/>
          <w:sz w:val="17"/>
          <w:szCs w:val="17"/>
          <w:color w:val="333333"/>
          <w:spacing w:val="34"/>
        </w:rPr>
        <w:t> </w:t>
      </w:r>
      <w:r>
        <w:rPr>
          <w:rFonts w:ascii="SimSun" w:hAnsi="SimSun" w:eastAsia="SimSun" w:cs="SimSun"/>
          <w:sz w:val="17"/>
          <w:szCs w:val="17"/>
          <w:color w:val="333333"/>
          <w:spacing w:val="-2"/>
        </w:rPr>
        <w:t>现代化提供数据支撑。</w:t>
      </w:r>
    </w:p>
    <w:p>
      <w:pPr>
        <w:ind w:firstLine="1394"/>
        <w:spacing w:before="107" w:line="187" w:lineRule="auto"/>
        <w:rPr>
          <w:rFonts w:ascii="SimSun" w:hAnsi="SimSun" w:eastAsia="SimSun" w:cs="SimSun"/>
          <w:sz w:val="17"/>
          <w:szCs w:val="17"/>
        </w:rPr>
      </w:pPr>
      <w:r>
        <w:rPr>
          <w:rFonts w:ascii="SimSun" w:hAnsi="SimSun" w:eastAsia="SimSun" w:cs="SimSun"/>
          <w:sz w:val="17"/>
          <w:szCs w:val="17"/>
          <w:color w:val="333333"/>
          <w:spacing w:val="1"/>
        </w:rPr>
        <w:t>（六）加速会计数据要素流通和利用，有效发挥会计信息在服务资源配置和宏观经济管理中的作用。</w:t>
      </w:r>
    </w:p>
    <w:p>
      <w:pPr>
        <w:spacing w:line="300" w:lineRule="auto"/>
        <w:rPr>
          <w:rFonts w:ascii="SimSun"/>
          <w:sz w:val="21"/>
        </w:rPr>
      </w:pPr>
      <w:r/>
    </w:p>
    <w:p>
      <w:pPr>
        <w:spacing w:line="301" w:lineRule="auto"/>
        <w:rPr>
          <w:rFonts w:ascii="SimSun"/>
          <w:sz w:val="21"/>
        </w:rPr>
      </w:pPr>
      <w:r/>
    </w:p>
    <w:p>
      <w:pPr>
        <w:ind w:firstLine="539"/>
        <w:spacing w:before="47" w:line="218" w:lineRule="exact"/>
        <w:rPr>
          <w:rFonts w:ascii="Arial" w:hAnsi="Arial" w:eastAsia="Arial" w:cs="Arial"/>
          <w:sz w:val="16"/>
          <w:szCs w:val="16"/>
        </w:rPr>
      </w:pPr>
      <w:r>
        <w:rPr>
          <w:rFonts w:ascii="Arial" w:hAnsi="Arial" w:eastAsia="Arial" w:cs="Arial"/>
          <w:sz w:val="16"/>
          <w:szCs w:val="16"/>
          <w:spacing w:val="-1"/>
        </w:rPr>
        <w:t>kjs.mof.gov.cn/zhengcejiedu/202202/t20220210_3786841.htm</w:t>
      </w:r>
      <w:r>
        <w:rPr>
          <w:rFonts w:ascii="Arial" w:hAnsi="Arial" w:eastAsia="Arial" w:cs="Arial"/>
          <w:sz w:val="16"/>
          <w:szCs w:val="16"/>
        </w:rPr>
        <w:t>                                                                                                                                            </w:t>
      </w:r>
      <w:r>
        <w:rPr>
          <w:rFonts w:ascii="Arial" w:hAnsi="Arial" w:eastAsia="Arial" w:cs="Arial"/>
          <w:sz w:val="16"/>
          <w:szCs w:val="16"/>
          <w:spacing w:val="-1"/>
        </w:rPr>
        <w:t>3/5</w:t>
      </w:r>
    </w:p>
    <w:p>
      <w:pPr>
        <w:sectPr>
          <w:pgSz w:w="11900" w:h="16839"/>
          <w:pgMar w:top="0" w:right="0" w:bottom="0" w:left="0" w:header="0" w:footer="0" w:gutter="0"/>
        </w:sectPr>
        <w:rPr/>
      </w:pPr>
    </w:p>
    <w:p>
      <w:pPr>
        <w:ind w:firstLine="533"/>
        <w:spacing w:line="204" w:lineRule="auto"/>
        <w:rPr>
          <w:rFonts w:ascii="Microsoft YaHei" w:hAnsi="Microsoft YaHei" w:eastAsia="Microsoft YaHei" w:cs="Microsoft YaHei"/>
          <w:sz w:val="16"/>
          <w:szCs w:val="16"/>
        </w:rPr>
      </w:pPr>
      <w:r>
        <w:rPr>
          <w:rFonts w:ascii="Arial" w:hAnsi="Arial" w:eastAsia="Arial" w:cs="Arial"/>
          <w:sz w:val="16"/>
          <w:szCs w:val="16"/>
          <w:spacing w:val="-2"/>
          <w:position w:val="1"/>
        </w:rPr>
        <w:t>2022/4/27</w:t>
      </w:r>
      <w:r>
        <w:rPr>
          <w:rFonts w:ascii="Arial" w:hAnsi="Arial" w:eastAsia="Arial" w:cs="Arial"/>
          <w:sz w:val="16"/>
          <w:szCs w:val="16"/>
          <w:spacing w:val="4"/>
          <w:position w:val="1"/>
        </w:rPr>
        <w:t>                </w:t>
      </w:r>
      <w:r>
        <w:rPr>
          <w:rFonts w:ascii="Microsoft YaHei" w:hAnsi="Microsoft YaHei" w:eastAsia="Microsoft YaHei" w:cs="Microsoft YaHei"/>
          <w:sz w:val="16"/>
          <w:szCs w:val="16"/>
          <w:spacing w:val="-2"/>
        </w:rPr>
        <w:t>加快会计数字化转型</w:t>
      </w:r>
      <w:r>
        <w:rPr>
          <w:rFonts w:ascii="Microsoft YaHei" w:hAnsi="Microsoft YaHei" w:eastAsia="Microsoft YaHei" w:cs="Microsoft YaHei"/>
          <w:sz w:val="16"/>
          <w:szCs w:val="16"/>
          <w:spacing w:val="6"/>
          <w:w w:val="101"/>
        </w:rPr>
        <w:t> </w:t>
      </w:r>
      <w:r>
        <w:rPr>
          <w:rFonts w:ascii="Microsoft YaHei" w:hAnsi="Microsoft YaHei" w:eastAsia="Microsoft YaHei" w:cs="Microsoft YaHei"/>
          <w:sz w:val="16"/>
          <w:szCs w:val="16"/>
          <w:spacing w:val="-2"/>
        </w:rPr>
        <w:t>支撑会计职能拓展推动会计信息化工作向更高水平迈进</w:t>
      </w:r>
      <w:r>
        <w:rPr>
          <w:rFonts w:ascii="Arial" w:hAnsi="Arial" w:eastAsia="Arial" w:cs="Arial"/>
          <w:sz w:val="16"/>
          <w:szCs w:val="16"/>
          <w:spacing w:val="-2"/>
        </w:rPr>
        <w:t>——</w:t>
      </w:r>
      <w:r>
        <w:rPr>
          <w:rFonts w:ascii="Arial" w:hAnsi="Arial" w:eastAsia="Arial" w:cs="Arial"/>
          <w:sz w:val="16"/>
          <w:szCs w:val="16"/>
          <w:spacing w:val="33"/>
          <w:w w:val="102"/>
        </w:rPr>
        <w:t> </w:t>
      </w:r>
      <w:r>
        <w:rPr>
          <w:rFonts w:ascii="Microsoft YaHei" w:hAnsi="Microsoft YaHei" w:eastAsia="Microsoft YaHei" w:cs="Microsoft YaHei"/>
          <w:sz w:val="16"/>
          <w:szCs w:val="16"/>
          <w:spacing w:val="-2"/>
        </w:rPr>
        <w:t>《会计改革与发展</w:t>
      </w:r>
      <w:r>
        <w:rPr>
          <w:rFonts w:ascii="Arial" w:hAnsi="Arial" w:eastAsia="Arial" w:cs="Arial"/>
          <w:sz w:val="16"/>
          <w:szCs w:val="16"/>
          <w:spacing w:val="-2"/>
        </w:rPr>
        <w:t>“</w:t>
      </w:r>
      <w:r>
        <w:rPr>
          <w:rFonts w:ascii="Microsoft YaHei" w:hAnsi="Microsoft YaHei" w:eastAsia="Microsoft YaHei" w:cs="Microsoft YaHei"/>
          <w:sz w:val="16"/>
          <w:szCs w:val="16"/>
          <w:spacing w:val="-2"/>
        </w:rPr>
        <w:t>十四五</w:t>
      </w:r>
      <w:r>
        <w:rPr>
          <w:rFonts w:ascii="Arial" w:hAnsi="Arial" w:eastAsia="Arial" w:cs="Arial"/>
          <w:sz w:val="16"/>
          <w:szCs w:val="16"/>
          <w:spacing w:val="-2"/>
        </w:rPr>
        <w:t>”</w:t>
      </w:r>
      <w:r>
        <w:rPr>
          <w:rFonts w:ascii="Microsoft YaHei" w:hAnsi="Microsoft YaHei" w:eastAsia="Microsoft YaHei" w:cs="Microsoft YaHei"/>
          <w:sz w:val="16"/>
          <w:szCs w:val="16"/>
          <w:spacing w:val="-2"/>
        </w:rPr>
        <w:t>规划纲要》系列解读之六</w:t>
      </w:r>
    </w:p>
    <w:p>
      <w:pPr>
        <w:ind w:firstLine="1402"/>
        <w:spacing w:before="119" w:line="187" w:lineRule="auto"/>
        <w:rPr>
          <w:rFonts w:ascii="SimSun" w:hAnsi="SimSun" w:eastAsia="SimSun" w:cs="SimSun"/>
          <w:sz w:val="17"/>
          <w:szCs w:val="17"/>
        </w:rPr>
      </w:pPr>
      <w:r>
        <w:rPr>
          <w:rFonts w:ascii="SimSun" w:hAnsi="SimSun" w:eastAsia="SimSun" w:cs="SimSun"/>
          <w:sz w:val="17"/>
          <w:szCs w:val="17"/>
          <w:color w:val="333333"/>
          <w:spacing w:val="2"/>
        </w:rPr>
        <w:t>1.发挥会计信息在资源配置中的支撑作用。会计数据作为重要数据要素，在资源配置中发挥了重要作用。财政部以会计数据标</w:t>
      </w:r>
    </w:p>
    <w:p>
      <w:pPr>
        <w:ind w:firstLine="1045"/>
        <w:spacing w:before="129" w:line="187" w:lineRule="auto"/>
        <w:rPr>
          <w:rFonts w:ascii="SimSun" w:hAnsi="SimSun" w:eastAsia="SimSun" w:cs="SimSun"/>
          <w:sz w:val="17"/>
          <w:szCs w:val="17"/>
        </w:rPr>
      </w:pPr>
      <w:r>
        <w:rPr>
          <w:rFonts w:ascii="SimSun" w:hAnsi="SimSun" w:eastAsia="SimSun" w:cs="SimSun"/>
          <w:sz w:val="17"/>
          <w:szCs w:val="17"/>
          <w:color w:val="333333"/>
          <w:spacing w:val="2"/>
        </w:rPr>
        <w:t>准为抓手，支持各类票据电子化改革，解决会计数字化转型的输入数据瓶颈问题。同时，推进企业财务报表数字化，推动企业会计</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2"/>
        </w:rPr>
        <w:t>信息系统数据架构趋于一致，制定实施小微企业会计数据增信标准，助力缓解融资难、融资贵问题，促进会计数据要素的流通和利</w:t>
      </w:r>
    </w:p>
    <w:p>
      <w:pPr>
        <w:ind w:firstLine="1045"/>
        <w:spacing w:before="129" w:line="187" w:lineRule="auto"/>
        <w:rPr>
          <w:rFonts w:ascii="SimSun" w:hAnsi="SimSun" w:eastAsia="SimSun" w:cs="SimSun"/>
          <w:sz w:val="17"/>
          <w:szCs w:val="17"/>
        </w:rPr>
      </w:pPr>
      <w:r>
        <w:rPr>
          <w:rFonts w:ascii="SimSun" w:hAnsi="SimSun" w:eastAsia="SimSun" w:cs="SimSun"/>
          <w:sz w:val="17"/>
          <w:szCs w:val="17"/>
          <w:color w:val="333333"/>
        </w:rPr>
        <w:t>用，发挥会计信息在资源配置中的支撑作用。</w:t>
      </w:r>
    </w:p>
    <w:p>
      <w:pPr>
        <w:ind w:firstLine="1391"/>
        <w:spacing w:before="236" w:line="187" w:lineRule="auto"/>
        <w:rPr>
          <w:rFonts w:ascii="SimSun" w:hAnsi="SimSun" w:eastAsia="SimSun" w:cs="SimSun"/>
          <w:sz w:val="17"/>
          <w:szCs w:val="17"/>
        </w:rPr>
      </w:pPr>
      <w:r>
        <w:rPr>
          <w:rFonts w:ascii="SimSun" w:hAnsi="SimSun" w:eastAsia="SimSun" w:cs="SimSun"/>
          <w:sz w:val="17"/>
          <w:szCs w:val="17"/>
          <w:color w:val="333333"/>
          <w:spacing w:val="2"/>
        </w:rPr>
        <w:t>2.发挥会计信息对宏观经济管理的服务作用。利用大数据等技术手段，加强会计数据与相关数据的整合分析，及时准确反映宏</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2"/>
        </w:rPr>
        <w:t>观经济总体运行状况及发展趋势，为财政政策、产业发展政策以及宏观经济管理决策提供参考，发挥会计信息对宏观经济管理的服</w:t>
      </w:r>
    </w:p>
    <w:p>
      <w:pPr>
        <w:ind w:firstLine="1045"/>
        <w:spacing w:before="129" w:line="187" w:lineRule="auto"/>
        <w:rPr>
          <w:rFonts w:ascii="SimSun" w:hAnsi="SimSun" w:eastAsia="SimSun" w:cs="SimSun"/>
          <w:sz w:val="17"/>
          <w:szCs w:val="17"/>
        </w:rPr>
      </w:pPr>
      <w:r>
        <w:rPr>
          <w:rFonts w:ascii="SimSun" w:hAnsi="SimSun" w:eastAsia="SimSun" w:cs="SimSun"/>
          <w:sz w:val="17"/>
          <w:szCs w:val="17"/>
          <w:color w:val="333333"/>
          <w:spacing w:val="-5"/>
        </w:rPr>
        <w:t>务作用。</w:t>
      </w:r>
    </w:p>
    <w:p>
      <w:pPr>
        <w:ind w:firstLine="1394"/>
        <w:spacing w:before="236" w:line="187" w:lineRule="auto"/>
        <w:rPr>
          <w:rFonts w:ascii="SimSun" w:hAnsi="SimSun" w:eastAsia="SimSun" w:cs="SimSun"/>
          <w:sz w:val="17"/>
          <w:szCs w:val="17"/>
        </w:rPr>
      </w:pPr>
      <w:r>
        <w:rPr>
          <w:rFonts w:ascii="SimSun" w:hAnsi="SimSun" w:eastAsia="SimSun" w:cs="SimSun"/>
          <w:sz w:val="17"/>
          <w:szCs w:val="17"/>
          <w:color w:val="333333"/>
          <w:spacing w:val="1"/>
        </w:rPr>
        <w:t>（七）探索建立会计数据共享平台和协同机制，推动会计监管信息的互通共享。</w:t>
      </w:r>
    </w:p>
    <w:p>
      <w:pPr>
        <w:ind w:firstLine="1378"/>
        <w:spacing w:before="237" w:line="187" w:lineRule="auto"/>
        <w:rPr>
          <w:rFonts w:ascii="SimSun" w:hAnsi="SimSun" w:eastAsia="SimSun" w:cs="SimSun"/>
          <w:sz w:val="17"/>
          <w:szCs w:val="17"/>
        </w:rPr>
      </w:pPr>
      <w:r>
        <w:rPr>
          <w:rFonts w:ascii="SimSun" w:hAnsi="SimSun" w:eastAsia="SimSun" w:cs="SimSun"/>
          <w:sz w:val="17"/>
          <w:szCs w:val="17"/>
          <w:color w:val="333333"/>
          <w:spacing w:val="2"/>
        </w:rPr>
        <w:t>“十四五”期间，财政部将联合有关部门积极推动会计数据标准的实施工作，在安全可控的前提下，探索建立跨部门的会计信</w:t>
      </w:r>
    </w:p>
    <w:p>
      <w:pPr>
        <w:ind w:firstLine="1051"/>
        <w:spacing w:before="129" w:line="187" w:lineRule="auto"/>
        <w:rPr>
          <w:rFonts w:ascii="SimSun" w:hAnsi="SimSun" w:eastAsia="SimSun" w:cs="SimSun"/>
          <w:sz w:val="17"/>
          <w:szCs w:val="17"/>
        </w:rPr>
      </w:pPr>
      <w:r>
        <w:rPr>
          <w:rFonts w:ascii="SimSun" w:hAnsi="SimSun" w:eastAsia="SimSun" w:cs="SimSun"/>
          <w:sz w:val="17"/>
          <w:szCs w:val="17"/>
          <w:color w:val="333333"/>
          <w:spacing w:val="2"/>
        </w:rPr>
        <w:t>息交换机制和共享平台，初步实现会计监管信息在不同监管部门之间形成互通共享，消除部门间的会计信息孤岛。到“十四五”时</w:t>
      </w:r>
    </w:p>
    <w:p>
      <w:pPr>
        <w:ind w:firstLine="1046"/>
        <w:spacing w:before="129" w:line="187" w:lineRule="auto"/>
        <w:rPr>
          <w:rFonts w:ascii="SimSun" w:hAnsi="SimSun" w:eastAsia="SimSun" w:cs="SimSun"/>
          <w:sz w:val="17"/>
          <w:szCs w:val="17"/>
        </w:rPr>
      </w:pPr>
      <w:r>
        <w:rPr>
          <w:rFonts w:ascii="SimSun" w:hAnsi="SimSun" w:eastAsia="SimSun" w:cs="SimSun"/>
          <w:sz w:val="17"/>
          <w:szCs w:val="17"/>
          <w:color w:val="333333"/>
          <w:spacing w:val="2"/>
        </w:rPr>
        <w:t>期末，初步实现各监管部门在财务报表数据层面和关键数据交换层面上的数据共享和互认，基本实现财务报表数据的标准化、结构</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1"/>
        </w:rPr>
        <w:t>化和单一来源，有效降低各监管部门间数据交换和比对核实的成本，提升监管效能。</w:t>
      </w:r>
    </w:p>
    <w:p>
      <w:pPr>
        <w:ind w:firstLine="1394"/>
        <w:spacing w:before="237" w:line="187" w:lineRule="auto"/>
        <w:rPr>
          <w:rFonts w:ascii="SimSun" w:hAnsi="SimSun" w:eastAsia="SimSun" w:cs="SimSun"/>
          <w:sz w:val="17"/>
          <w:szCs w:val="17"/>
        </w:rPr>
      </w:pPr>
      <w:r>
        <w:rPr>
          <w:rFonts w:ascii="SimSun" w:hAnsi="SimSun" w:eastAsia="SimSun" w:cs="SimSun"/>
          <w:sz w:val="17"/>
          <w:szCs w:val="17"/>
          <w:color w:val="333333"/>
          <w:spacing w:val="1"/>
        </w:rPr>
        <w:t>（八）健全安全管理制度和安全技术标准，加强会计信息安全和跨境会计信息监管。</w:t>
      </w:r>
    </w:p>
    <w:p>
      <w:pPr>
        <w:ind w:firstLine="1408"/>
        <w:spacing w:before="237" w:line="187" w:lineRule="auto"/>
        <w:rPr>
          <w:rFonts w:ascii="SimSun" w:hAnsi="SimSun" w:eastAsia="SimSun" w:cs="SimSun"/>
          <w:sz w:val="17"/>
          <w:szCs w:val="17"/>
        </w:rPr>
      </w:pPr>
      <w:r>
        <w:rPr>
          <w:rFonts w:ascii="SimSun" w:hAnsi="SimSun" w:eastAsia="SimSun" w:cs="SimSun"/>
          <w:sz w:val="17"/>
          <w:szCs w:val="17"/>
          <w:color w:val="333333"/>
          <w:spacing w:val="5"/>
        </w:rPr>
        <w:t>1.健全会计信息安全管理制度和安全技术标准。会计信息是企事业单位重要的数据资源，其安全可靠至关重要。坚持积极防</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2"/>
        </w:rPr>
        <w:t>御、综合防范的方针，财政部将联合相关部门在全面提高单位会计信息安全防护能力的同时，重点保障各部门监管系统中会计信息</w:t>
      </w:r>
    </w:p>
    <w:p>
      <w:pPr>
        <w:ind w:firstLine="1058"/>
        <w:spacing w:before="129" w:line="187" w:lineRule="auto"/>
        <w:rPr>
          <w:rFonts w:ascii="SimSun" w:hAnsi="SimSun" w:eastAsia="SimSun" w:cs="SimSun"/>
          <w:sz w:val="17"/>
          <w:szCs w:val="17"/>
        </w:rPr>
      </w:pPr>
      <w:r>
        <w:rPr>
          <w:rFonts w:ascii="SimSun" w:hAnsi="SimSun" w:eastAsia="SimSun" w:cs="SimSun"/>
          <w:sz w:val="17"/>
          <w:szCs w:val="17"/>
          <w:color w:val="333333"/>
          <w:spacing w:val="2"/>
        </w:rPr>
        <w:t>的安全。同时，针对不同类型的单位，积极建立健全会计信息分级分类安全管理制度、安全技术标准和监控体系，加强对会计信息</w:t>
      </w:r>
    </w:p>
    <w:p>
      <w:pPr>
        <w:ind w:firstLine="1047"/>
        <w:spacing w:before="129" w:line="187" w:lineRule="auto"/>
        <w:rPr>
          <w:rFonts w:ascii="SimSun" w:hAnsi="SimSun" w:eastAsia="SimSun" w:cs="SimSun"/>
          <w:sz w:val="17"/>
          <w:szCs w:val="17"/>
        </w:rPr>
      </w:pPr>
      <w:r>
        <w:rPr>
          <w:rFonts w:ascii="SimSun" w:hAnsi="SimSun" w:eastAsia="SimSun" w:cs="SimSun"/>
          <w:sz w:val="17"/>
          <w:szCs w:val="17"/>
          <w:color w:val="333333"/>
        </w:rPr>
        <w:t>系统的审计，建立信息安全的有效保障机制和应急处理机制。</w:t>
      </w:r>
    </w:p>
    <w:p>
      <w:pPr>
        <w:ind w:firstLine="1391"/>
        <w:spacing w:before="237" w:line="187" w:lineRule="auto"/>
        <w:rPr>
          <w:rFonts w:ascii="SimSun" w:hAnsi="SimSun" w:eastAsia="SimSun" w:cs="SimSun"/>
          <w:sz w:val="17"/>
          <w:szCs w:val="17"/>
        </w:rPr>
      </w:pPr>
      <w:r>
        <w:rPr>
          <w:rFonts w:ascii="SimSun" w:hAnsi="SimSun" w:eastAsia="SimSun" w:cs="SimSun"/>
          <w:sz w:val="17"/>
          <w:szCs w:val="17"/>
          <w:color w:val="333333"/>
          <w:spacing w:val="2"/>
        </w:rPr>
        <w:t>2.加强跨境会计信息监管。积极探索跨境会计信息监管标准，努力寻求跨境会计信息监管方法和技术，研究可行的跨境会计信</w:t>
      </w:r>
    </w:p>
    <w:p>
      <w:pPr>
        <w:ind w:firstLine="1051"/>
        <w:spacing w:before="129" w:line="187" w:lineRule="auto"/>
        <w:rPr>
          <w:rFonts w:ascii="SimSun" w:hAnsi="SimSun" w:eastAsia="SimSun" w:cs="SimSun"/>
          <w:sz w:val="17"/>
          <w:szCs w:val="17"/>
        </w:rPr>
      </w:pPr>
      <w:r>
        <w:rPr>
          <w:rFonts w:ascii="SimSun" w:hAnsi="SimSun" w:eastAsia="SimSun" w:cs="SimSun"/>
          <w:sz w:val="17"/>
          <w:szCs w:val="17"/>
          <w:color w:val="333333"/>
          <w:spacing w:val="1"/>
        </w:rPr>
        <w:t>息监管路径，从制度上防止境内外有关机构和个人通过违法违规和不当手段获取、传输会计信息，切实保障国家信息安全。</w:t>
      </w:r>
    </w:p>
    <w:p>
      <w:pPr>
        <w:ind w:firstLine="1394"/>
        <w:spacing w:before="236" w:line="187" w:lineRule="auto"/>
        <w:rPr>
          <w:rFonts w:ascii="SimSun" w:hAnsi="SimSun" w:eastAsia="SimSun" w:cs="SimSun"/>
          <w:sz w:val="17"/>
          <w:szCs w:val="17"/>
        </w:rPr>
      </w:pPr>
      <w:r>
        <w:rPr>
          <w:rFonts w:ascii="SimSun" w:hAnsi="SimSun" w:eastAsia="SimSun" w:cs="SimSun"/>
          <w:sz w:val="17"/>
          <w:szCs w:val="17"/>
          <w:color w:val="333333"/>
        </w:rPr>
        <w:t>（九）加强会计信息化人才培养，繁荣会计信息化理论研究。</w:t>
      </w:r>
    </w:p>
    <w:p>
      <w:pPr>
        <w:ind w:firstLine="1402"/>
        <w:spacing w:before="237" w:line="187" w:lineRule="auto"/>
        <w:rPr>
          <w:rFonts w:ascii="SimSun" w:hAnsi="SimSun" w:eastAsia="SimSun" w:cs="SimSun"/>
          <w:sz w:val="17"/>
          <w:szCs w:val="17"/>
        </w:rPr>
      </w:pPr>
      <w:r>
        <w:rPr>
          <w:rFonts w:ascii="SimSun" w:hAnsi="SimSun" w:eastAsia="SimSun" w:cs="SimSun"/>
          <w:sz w:val="17"/>
          <w:szCs w:val="17"/>
          <w:color w:val="333333"/>
          <w:spacing w:val="2"/>
        </w:rPr>
        <w:t>1.加强会计信息化人才培养。会计数字化转型离不开高水平人才的支持。</w:t>
      </w:r>
      <w:r>
        <w:rPr>
          <w:rFonts w:ascii="SimSun" w:hAnsi="SimSun" w:eastAsia="SimSun" w:cs="SimSun"/>
          <w:sz w:val="17"/>
          <w:szCs w:val="17"/>
          <w:color w:val="333333"/>
          <w:spacing w:val="-67"/>
        </w:rPr>
        <w:t> </w:t>
      </w:r>
      <w:r>
        <w:rPr>
          <w:rFonts w:ascii="SimSun" w:hAnsi="SimSun" w:eastAsia="SimSun" w:cs="SimSun"/>
          <w:sz w:val="17"/>
          <w:szCs w:val="17"/>
          <w:color w:val="333333"/>
          <w:spacing w:val="2"/>
        </w:rPr>
        <w:t>“十四五”期间，财政部将加大会计信息化人才培养</w:t>
      </w:r>
    </w:p>
    <w:p>
      <w:pPr>
        <w:ind w:firstLine="1046"/>
        <w:spacing w:before="129" w:line="187" w:lineRule="auto"/>
        <w:rPr>
          <w:rFonts w:ascii="SimSun" w:hAnsi="SimSun" w:eastAsia="SimSun" w:cs="SimSun"/>
          <w:sz w:val="17"/>
          <w:szCs w:val="17"/>
        </w:rPr>
      </w:pPr>
      <w:r>
        <w:rPr>
          <w:rFonts w:ascii="SimSun" w:hAnsi="SimSun" w:eastAsia="SimSun" w:cs="SimSun"/>
          <w:sz w:val="17"/>
          <w:szCs w:val="17"/>
          <w:color w:val="333333"/>
          <w:spacing w:val="2"/>
        </w:rPr>
        <w:t>力度，推动各单位加强复合型会计信息化人才培养，高等院校适当增加会计信息化课程内容的比重，在会计人员能力框架、会计专</w:t>
      </w:r>
    </w:p>
    <w:p>
      <w:pPr>
        <w:ind w:firstLine="1043"/>
        <w:spacing w:before="129" w:line="187" w:lineRule="auto"/>
        <w:rPr>
          <w:rFonts w:ascii="SimSun" w:hAnsi="SimSun" w:eastAsia="SimSun" w:cs="SimSun"/>
          <w:sz w:val="17"/>
          <w:szCs w:val="17"/>
        </w:rPr>
      </w:pPr>
      <w:r>
        <w:rPr>
          <w:rFonts w:ascii="SimSun" w:hAnsi="SimSun" w:eastAsia="SimSun" w:cs="SimSun"/>
          <w:sz w:val="17"/>
          <w:szCs w:val="17"/>
          <w:color w:val="333333"/>
          <w:spacing w:val="1"/>
        </w:rPr>
        <w:t>业技术资格考试大纲、会计专业高等和职业教育大纲中增加对会计信息化和会计数字化转型的能力要求的比重。</w:t>
      </w:r>
    </w:p>
    <w:p>
      <w:pPr>
        <w:ind w:firstLine="1391"/>
        <w:spacing w:before="237" w:line="187" w:lineRule="auto"/>
        <w:rPr>
          <w:rFonts w:ascii="SimSun" w:hAnsi="SimSun" w:eastAsia="SimSun" w:cs="SimSun"/>
          <w:sz w:val="17"/>
          <w:szCs w:val="17"/>
        </w:rPr>
      </w:pPr>
      <w:r>
        <w:rPr>
          <w:rFonts w:ascii="SimSun" w:hAnsi="SimSun" w:eastAsia="SimSun" w:cs="SimSun"/>
          <w:sz w:val="17"/>
          <w:szCs w:val="17"/>
          <w:color w:val="333333"/>
          <w:spacing w:val="2"/>
        </w:rPr>
        <w:t>2.繁荣会计信息化理论研究。理论与实践的相互融合发展是推动会计数字化转型的重要动力。</w:t>
      </w:r>
      <w:r>
        <w:rPr>
          <w:rFonts w:ascii="SimSun" w:hAnsi="SimSun" w:eastAsia="SimSun" w:cs="SimSun"/>
          <w:sz w:val="17"/>
          <w:szCs w:val="17"/>
          <w:color w:val="333333"/>
          <w:spacing w:val="-56"/>
        </w:rPr>
        <w:t> </w:t>
      </w:r>
      <w:r>
        <w:rPr>
          <w:rFonts w:ascii="SimSun" w:hAnsi="SimSun" w:eastAsia="SimSun" w:cs="SimSun"/>
          <w:sz w:val="17"/>
          <w:szCs w:val="17"/>
          <w:color w:val="333333"/>
          <w:spacing w:val="2"/>
        </w:rPr>
        <w:t>“十四五”期间，财政部将推动</w:t>
      </w:r>
    </w:p>
    <w:p>
      <w:pPr>
        <w:ind w:firstLine="1046"/>
        <w:spacing w:before="129" w:line="187" w:lineRule="auto"/>
        <w:rPr>
          <w:rFonts w:ascii="SimSun" w:hAnsi="SimSun" w:eastAsia="SimSun" w:cs="SimSun"/>
          <w:sz w:val="17"/>
          <w:szCs w:val="17"/>
        </w:rPr>
      </w:pPr>
      <w:r>
        <w:rPr>
          <w:rFonts w:ascii="SimSun" w:hAnsi="SimSun" w:eastAsia="SimSun" w:cs="SimSun"/>
          <w:sz w:val="17"/>
          <w:szCs w:val="17"/>
          <w:color w:val="333333"/>
          <w:spacing w:val="2"/>
        </w:rPr>
        <w:t>理论界研究会计数字化转型的理论与实践、机遇与挑战、安全与伦理等基础问题，研究国家会计数据管理体系、国家会计信息化发</w:t>
      </w:r>
    </w:p>
    <w:p>
      <w:pPr>
        <w:ind w:firstLine="1045"/>
        <w:spacing w:before="129" w:line="187" w:lineRule="auto"/>
        <w:rPr>
          <w:rFonts w:ascii="SimSun" w:hAnsi="SimSun" w:eastAsia="SimSun" w:cs="SimSun"/>
          <w:sz w:val="17"/>
          <w:szCs w:val="17"/>
        </w:rPr>
      </w:pPr>
      <w:r>
        <w:rPr>
          <w:rFonts w:ascii="SimSun" w:hAnsi="SimSun" w:eastAsia="SimSun" w:cs="SimSun"/>
          <w:sz w:val="17"/>
          <w:szCs w:val="17"/>
          <w:color w:val="333333"/>
          <w:spacing w:val="2"/>
        </w:rPr>
        <w:t>展体系等重大课题，同时联合理论界和实务界开展会计信息化应用案例编写、交流、推广，形成一批能引领时代发展的会计信息化</w:t>
      </w:r>
    </w:p>
    <w:p>
      <w:pPr>
        <w:ind w:firstLine="1046"/>
        <w:spacing w:before="129" w:line="187" w:lineRule="auto"/>
        <w:rPr>
          <w:rFonts w:ascii="SimSun" w:hAnsi="SimSun" w:eastAsia="SimSun" w:cs="SimSun"/>
          <w:sz w:val="17"/>
          <w:szCs w:val="17"/>
        </w:rPr>
      </w:pPr>
      <w:r>
        <w:rPr>
          <w:rFonts w:ascii="SimSun" w:hAnsi="SimSun" w:eastAsia="SimSun" w:cs="SimSun"/>
          <w:sz w:val="17"/>
          <w:szCs w:val="17"/>
          <w:color w:val="333333"/>
          <w:spacing w:val="-3"/>
        </w:rPr>
        <w:t>前沿研究成果。</w:t>
      </w:r>
    </w:p>
    <w:p>
      <w:pPr>
        <w:ind w:firstLine="1404"/>
        <w:spacing w:before="237" w:line="187" w:lineRule="auto"/>
        <w:rPr>
          <w:rFonts w:ascii="SimSun" w:hAnsi="SimSun" w:eastAsia="SimSun" w:cs="SimSun"/>
          <w:sz w:val="17"/>
          <w:szCs w:val="17"/>
        </w:rPr>
      </w:pPr>
      <w:r>
        <w:rPr>
          <w:rFonts w:ascii="SimSun" w:hAnsi="SimSun" w:eastAsia="SimSun" w:cs="SimSun"/>
          <w:sz w:val="17"/>
          <w:szCs w:val="17"/>
          <w:color w:val="333333"/>
          <w:spacing w:val="11"/>
        </w:rPr>
        <w:t>四、强化实施保障，确保“十四五”时期各项任务取得实效</w:t>
      </w:r>
    </w:p>
    <w:p>
      <w:pPr>
        <w:ind w:firstLine="1394"/>
        <w:spacing w:before="236" w:line="187" w:lineRule="auto"/>
        <w:rPr>
          <w:rFonts w:ascii="SimSun" w:hAnsi="SimSun" w:eastAsia="SimSun" w:cs="SimSun"/>
          <w:sz w:val="17"/>
          <w:szCs w:val="17"/>
        </w:rPr>
      </w:pPr>
      <w:r>
        <w:rPr>
          <w:rFonts w:ascii="SimSun" w:hAnsi="SimSun" w:eastAsia="SimSun" w:cs="SimSun"/>
          <w:sz w:val="17"/>
          <w:szCs w:val="17"/>
          <w:color w:val="333333"/>
          <w:spacing w:val="-1"/>
        </w:rPr>
        <w:t>（一）强化组织领导，明确职责分工。</w:t>
      </w:r>
    </w:p>
    <w:p>
      <w:pPr>
        <w:ind w:firstLine="1390"/>
        <w:spacing w:before="237" w:line="187" w:lineRule="auto"/>
        <w:rPr>
          <w:rFonts w:ascii="SimSun" w:hAnsi="SimSun" w:eastAsia="SimSun" w:cs="SimSun"/>
          <w:sz w:val="17"/>
          <w:szCs w:val="17"/>
        </w:rPr>
      </w:pPr>
      <w:r>
        <w:rPr>
          <w:rFonts w:ascii="SimSun" w:hAnsi="SimSun" w:eastAsia="SimSun" w:cs="SimSun"/>
          <w:sz w:val="17"/>
          <w:szCs w:val="17"/>
          <w:color w:val="333333"/>
          <w:spacing w:val="2"/>
        </w:rPr>
        <w:t>财政部门是会计信息化改革的主推手。财政部要加强与中央有关主管部门的统筹协调，建立健全与相关部门运行高效、职能明</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2"/>
        </w:rPr>
        <w:t>确、分工清晰的会计信息化工作机制，实现政策制定和政策实施的联动协调，形成推进合力，积极开展会计信息化宣传和贯彻实施</w:t>
      </w:r>
    </w:p>
    <w:p>
      <w:pPr>
        <w:ind w:firstLine="1046"/>
        <w:spacing w:before="129" w:line="187" w:lineRule="auto"/>
        <w:rPr>
          <w:rFonts w:ascii="SimSun" w:hAnsi="SimSun" w:eastAsia="SimSun" w:cs="SimSun"/>
          <w:sz w:val="17"/>
          <w:szCs w:val="17"/>
        </w:rPr>
      </w:pPr>
      <w:r>
        <w:rPr>
          <w:rFonts w:ascii="SimSun" w:hAnsi="SimSun" w:eastAsia="SimSun" w:cs="SimSun"/>
          <w:sz w:val="17"/>
          <w:szCs w:val="17"/>
          <w:color w:val="333333"/>
          <w:spacing w:val="-2"/>
        </w:rPr>
        <w:t>工作。各地区（部门）</w:t>
      </w:r>
      <w:r>
        <w:rPr>
          <w:rFonts w:ascii="SimSun" w:hAnsi="SimSun" w:eastAsia="SimSun" w:cs="SimSun"/>
          <w:sz w:val="17"/>
          <w:szCs w:val="17"/>
          <w:color w:val="333333"/>
          <w:spacing w:val="-2"/>
        </w:rPr>
        <w:t> </w:t>
      </w:r>
      <w:r>
        <w:rPr>
          <w:rFonts w:ascii="SimSun" w:hAnsi="SimSun" w:eastAsia="SimSun" w:cs="SimSun"/>
          <w:sz w:val="17"/>
          <w:szCs w:val="17"/>
          <w:color w:val="333333"/>
          <w:spacing w:val="-2"/>
        </w:rPr>
        <w:t>是会计信息化改革的执行者。有条件的地区（部门）</w:t>
      </w:r>
      <w:r>
        <w:rPr>
          <w:rFonts w:ascii="SimSun" w:hAnsi="SimSun" w:eastAsia="SimSun" w:cs="SimSun"/>
          <w:sz w:val="17"/>
          <w:szCs w:val="17"/>
          <w:color w:val="333333"/>
          <w:spacing w:val="-3"/>
        </w:rPr>
        <w:t> </w:t>
      </w:r>
      <w:r>
        <w:rPr>
          <w:rFonts w:ascii="SimSun" w:hAnsi="SimSun" w:eastAsia="SimSun" w:cs="SimSun"/>
          <w:sz w:val="17"/>
          <w:szCs w:val="17"/>
          <w:color w:val="333333"/>
          <w:spacing w:val="-2"/>
        </w:rPr>
        <w:t>可以结合实际情况，制定本地区（部门）</w:t>
      </w:r>
      <w:r>
        <w:rPr>
          <w:rFonts w:ascii="SimSun" w:hAnsi="SimSun" w:eastAsia="SimSun" w:cs="SimSun"/>
          <w:sz w:val="17"/>
          <w:szCs w:val="17"/>
          <w:color w:val="333333"/>
          <w:spacing w:val="10"/>
        </w:rPr>
        <w:t> </w:t>
      </w:r>
      <w:r>
        <w:rPr>
          <w:rFonts w:ascii="SimSun" w:hAnsi="SimSun" w:eastAsia="SimSun" w:cs="SimSun"/>
          <w:sz w:val="17"/>
          <w:szCs w:val="17"/>
          <w:color w:val="333333"/>
          <w:spacing w:val="-2"/>
        </w:rPr>
        <w:t>的会计信息化</w:t>
      </w:r>
    </w:p>
    <w:p>
      <w:pPr>
        <w:ind w:firstLine="1046"/>
        <w:spacing w:before="129" w:line="187" w:lineRule="auto"/>
        <w:rPr>
          <w:rFonts w:ascii="SimSun" w:hAnsi="SimSun" w:eastAsia="SimSun" w:cs="SimSun"/>
          <w:sz w:val="17"/>
          <w:szCs w:val="17"/>
        </w:rPr>
      </w:pPr>
      <w:r>
        <w:rPr>
          <w:rFonts w:ascii="SimSun" w:hAnsi="SimSun" w:eastAsia="SimSun" w:cs="SimSun"/>
          <w:sz w:val="17"/>
          <w:szCs w:val="17"/>
          <w:color w:val="333333"/>
          <w:spacing w:val="-1"/>
        </w:rPr>
        <w:t>发展规划或实施方案，切实将《规划纲要》</w:t>
      </w:r>
      <w:r>
        <w:rPr>
          <w:rFonts w:ascii="SimSun" w:hAnsi="SimSun" w:eastAsia="SimSun" w:cs="SimSun"/>
          <w:sz w:val="17"/>
          <w:szCs w:val="17"/>
          <w:color w:val="333333"/>
          <w:spacing w:val="38"/>
        </w:rPr>
        <w:t> </w:t>
      </w:r>
      <w:r>
        <w:rPr>
          <w:rFonts w:ascii="SimSun" w:hAnsi="SimSun" w:eastAsia="SimSun" w:cs="SimSun"/>
          <w:sz w:val="17"/>
          <w:szCs w:val="17"/>
          <w:color w:val="333333"/>
          <w:spacing w:val="-1"/>
        </w:rPr>
        <w:t>和《信息化规划》</w:t>
      </w:r>
      <w:r>
        <w:rPr>
          <w:rFonts w:ascii="SimSun" w:hAnsi="SimSun" w:eastAsia="SimSun" w:cs="SimSun"/>
          <w:sz w:val="17"/>
          <w:szCs w:val="17"/>
          <w:color w:val="333333"/>
          <w:spacing w:val="1"/>
        </w:rPr>
        <w:t> </w:t>
      </w:r>
      <w:r>
        <w:rPr>
          <w:rFonts w:ascii="SimSun" w:hAnsi="SimSun" w:eastAsia="SimSun" w:cs="SimSun"/>
          <w:sz w:val="17"/>
          <w:szCs w:val="17"/>
          <w:color w:val="333333"/>
          <w:spacing w:val="-1"/>
        </w:rPr>
        <w:t>各项任务落到实处。注册会计师协会要以行业信息化战略为引领，指</w:t>
      </w:r>
    </w:p>
    <w:p>
      <w:pPr>
        <w:ind w:firstLine="1048"/>
        <w:spacing w:before="129" w:line="187" w:lineRule="auto"/>
        <w:rPr>
          <w:rFonts w:ascii="SimSun" w:hAnsi="SimSun" w:eastAsia="SimSun" w:cs="SimSun"/>
          <w:sz w:val="17"/>
          <w:szCs w:val="17"/>
        </w:rPr>
      </w:pPr>
      <w:r>
        <w:rPr>
          <w:rFonts w:ascii="SimSun" w:hAnsi="SimSun" w:eastAsia="SimSun" w:cs="SimSun"/>
          <w:sz w:val="17"/>
          <w:szCs w:val="17"/>
          <w:color w:val="333333"/>
          <w:spacing w:val="2"/>
        </w:rPr>
        <w:t>导和推动会计师事务所数字化转型，推进行业高质量发展。积极发挥全国会计信息化标准化技术委员会的智库作用，加快制定会计</w:t>
      </w:r>
    </w:p>
    <w:p>
      <w:pPr>
        <w:ind w:firstLine="1044"/>
        <w:spacing w:before="130" w:line="187" w:lineRule="auto"/>
        <w:rPr>
          <w:rFonts w:ascii="SimSun" w:hAnsi="SimSun" w:eastAsia="SimSun" w:cs="SimSun"/>
          <w:sz w:val="17"/>
          <w:szCs w:val="17"/>
        </w:rPr>
      </w:pPr>
      <w:r>
        <w:rPr>
          <w:rFonts w:ascii="SimSun" w:hAnsi="SimSun" w:eastAsia="SimSun" w:cs="SimSun"/>
          <w:sz w:val="17"/>
          <w:szCs w:val="17"/>
          <w:color w:val="333333"/>
          <w:spacing w:val="-2"/>
        </w:rPr>
        <w:t>信息化国家标准。</w:t>
      </w:r>
    </w:p>
    <w:p>
      <w:pPr>
        <w:ind w:firstLine="1394"/>
        <w:spacing w:before="236" w:line="187" w:lineRule="auto"/>
        <w:rPr>
          <w:rFonts w:ascii="SimSun" w:hAnsi="SimSun" w:eastAsia="SimSun" w:cs="SimSun"/>
          <w:sz w:val="17"/>
          <w:szCs w:val="17"/>
        </w:rPr>
      </w:pPr>
      <w:r>
        <w:rPr>
          <w:rFonts w:ascii="SimSun" w:hAnsi="SimSun" w:eastAsia="SimSun" w:cs="SimSun"/>
          <w:sz w:val="17"/>
          <w:szCs w:val="17"/>
          <w:color w:val="333333"/>
          <w:spacing w:val="-1"/>
        </w:rPr>
        <w:t>（二）精心推动实施，形成工作合力。</w:t>
      </w:r>
    </w:p>
    <w:p>
      <w:pPr>
        <w:ind w:firstLine="1391"/>
        <w:spacing w:before="237" w:line="187" w:lineRule="auto"/>
        <w:rPr>
          <w:rFonts w:ascii="SimSun" w:hAnsi="SimSun" w:eastAsia="SimSun" w:cs="SimSun"/>
          <w:sz w:val="17"/>
          <w:szCs w:val="17"/>
        </w:rPr>
      </w:pPr>
      <w:r>
        <w:rPr>
          <w:rFonts w:ascii="SimSun" w:hAnsi="SimSun" w:eastAsia="SimSun" w:cs="SimSun"/>
          <w:sz w:val="17"/>
          <w:szCs w:val="17"/>
          <w:color w:val="333333"/>
          <w:spacing w:val="2"/>
        </w:rPr>
        <w:t>建立健全会计信息化工作实施机制，充分发挥各企事业单位、各代理记账公司、财务软件公司、相关咨询机构、中国会计学会</w:t>
      </w:r>
    </w:p>
    <w:p>
      <w:pPr>
        <w:ind w:firstLine="1045"/>
        <w:spacing w:before="129" w:line="187" w:lineRule="auto"/>
        <w:rPr>
          <w:rFonts w:ascii="SimSun" w:hAnsi="SimSun" w:eastAsia="SimSun" w:cs="SimSun"/>
          <w:sz w:val="17"/>
          <w:szCs w:val="17"/>
        </w:rPr>
      </w:pPr>
      <w:r>
        <w:rPr>
          <w:rFonts w:ascii="SimSun" w:hAnsi="SimSun" w:eastAsia="SimSun" w:cs="SimSun"/>
          <w:sz w:val="17"/>
          <w:szCs w:val="17"/>
          <w:color w:val="333333"/>
          <w:spacing w:val="2"/>
        </w:rPr>
        <w:t>等专业学会协会和高等院校、科研院所等理论界的主体作用，推动会计信息化工作的全面有效实施。各企事业单位是会计信息化改</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1"/>
        </w:rPr>
        <w:t>革的落地实践者。各单位负责人是本单位会计信息化工作的第一责任人，总会计师（或分管财务会计工作负责人）</w:t>
      </w:r>
      <w:r>
        <w:rPr>
          <w:rFonts w:ascii="SimSun" w:hAnsi="SimSun" w:eastAsia="SimSun" w:cs="SimSun"/>
          <w:sz w:val="17"/>
          <w:szCs w:val="17"/>
          <w:color w:val="333333"/>
          <w:spacing w:val="5"/>
          <w:w w:val="101"/>
        </w:rPr>
        <w:t> </w:t>
      </w:r>
      <w:r>
        <w:rPr>
          <w:rFonts w:ascii="SimSun" w:hAnsi="SimSun" w:eastAsia="SimSun" w:cs="SimSun"/>
          <w:sz w:val="17"/>
          <w:szCs w:val="17"/>
          <w:color w:val="333333"/>
          <w:spacing w:val="1"/>
        </w:rPr>
        <w:t>和财务会计部门</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2"/>
        </w:rPr>
        <w:t>要落实分管责任和具体责任。各单位要高度重视会计信息化工作，结合本单位实际需要，制定会计信息化工作计划和方案，加强组</w:t>
      </w:r>
    </w:p>
    <w:p>
      <w:pPr>
        <w:ind w:firstLine="1046"/>
        <w:spacing w:before="129" w:line="187" w:lineRule="auto"/>
        <w:rPr>
          <w:rFonts w:ascii="SimSun" w:hAnsi="SimSun" w:eastAsia="SimSun" w:cs="SimSun"/>
          <w:sz w:val="17"/>
          <w:szCs w:val="17"/>
        </w:rPr>
      </w:pPr>
      <w:r>
        <w:rPr>
          <w:rFonts w:ascii="SimSun" w:hAnsi="SimSun" w:eastAsia="SimSun" w:cs="SimSun"/>
          <w:sz w:val="17"/>
          <w:szCs w:val="17"/>
          <w:color w:val="333333"/>
          <w:spacing w:val="2"/>
        </w:rPr>
        <w:t>织实施和经费保障，切实推动本单位会计信息化工作。各代理记账公司、财务软件公司、相关咨询行业也是会计信息化改革的重要</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2"/>
        </w:rPr>
        <w:t>推动者。代理记账公司要积极探索会计资源共享服务理念，探索打造以会计数据为核心的数据聚合平台，支持中小微企业会计数据</w:t>
      </w:r>
    </w:p>
    <w:p>
      <w:pPr>
        <w:ind w:firstLine="1051"/>
        <w:spacing w:before="129" w:line="187" w:lineRule="auto"/>
        <w:rPr>
          <w:rFonts w:ascii="SimSun" w:hAnsi="SimSun" w:eastAsia="SimSun" w:cs="SimSun"/>
          <w:sz w:val="17"/>
          <w:szCs w:val="17"/>
        </w:rPr>
      </w:pPr>
      <w:r>
        <w:rPr>
          <w:rFonts w:ascii="SimSun" w:hAnsi="SimSun" w:eastAsia="SimSun" w:cs="SimSun"/>
          <w:sz w:val="17"/>
          <w:szCs w:val="17"/>
          <w:color w:val="333333"/>
          <w:spacing w:val="2"/>
        </w:rPr>
        <w:t>资产实现价值。财务软件公司和相关咨询行业要切实加强对会计信息化系列软件产品的研发，探索新技术在会计信息化工作中的具</w:t>
      </w:r>
    </w:p>
    <w:p>
      <w:pPr>
        <w:ind w:firstLine="1044"/>
        <w:spacing w:before="130" w:line="187" w:lineRule="auto"/>
        <w:rPr>
          <w:rFonts w:ascii="SimSun" w:hAnsi="SimSun" w:eastAsia="SimSun" w:cs="SimSun"/>
          <w:sz w:val="17"/>
          <w:szCs w:val="17"/>
        </w:rPr>
      </w:pPr>
      <w:r>
        <w:rPr>
          <w:rFonts w:ascii="SimSun" w:hAnsi="SimSun" w:eastAsia="SimSun" w:cs="SimSun"/>
          <w:sz w:val="17"/>
          <w:szCs w:val="17"/>
          <w:color w:val="333333"/>
          <w:spacing w:val="2"/>
        </w:rPr>
        <w:t>体应用场景，积极助力会计数字化转型。中国会计学会等专业学会协会和高等院校、科研院所等理论界要在保持科学严谨态度基础</w:t>
      </w:r>
    </w:p>
    <w:p>
      <w:pPr>
        <w:ind w:firstLine="1045"/>
        <w:spacing w:before="129" w:line="187" w:lineRule="auto"/>
        <w:rPr>
          <w:rFonts w:ascii="SimSun" w:hAnsi="SimSun" w:eastAsia="SimSun" w:cs="SimSun"/>
          <w:sz w:val="17"/>
          <w:szCs w:val="17"/>
        </w:rPr>
      </w:pPr>
      <w:r>
        <w:rPr>
          <w:rFonts w:ascii="SimSun" w:hAnsi="SimSun" w:eastAsia="SimSun" w:cs="SimSun"/>
          <w:sz w:val="17"/>
          <w:szCs w:val="17"/>
          <w:color w:val="333333"/>
          <w:spacing w:val="1"/>
        </w:rPr>
        <w:t>上，突出问题导向，加强会计信息化最新理论研究和前沿探索，为会计数字化转型提供智力支持。</w:t>
      </w:r>
    </w:p>
    <w:p>
      <w:pPr>
        <w:ind w:firstLine="1394"/>
        <w:spacing w:before="236" w:line="187" w:lineRule="auto"/>
        <w:rPr>
          <w:rFonts w:ascii="SimSun" w:hAnsi="SimSun" w:eastAsia="SimSun" w:cs="SimSun"/>
          <w:sz w:val="17"/>
          <w:szCs w:val="17"/>
        </w:rPr>
      </w:pPr>
      <w:r>
        <w:rPr>
          <w:rFonts w:ascii="SimSun" w:hAnsi="SimSun" w:eastAsia="SimSun" w:cs="SimSun"/>
          <w:sz w:val="17"/>
          <w:szCs w:val="17"/>
          <w:color w:val="333333"/>
          <w:spacing w:val="-1"/>
        </w:rPr>
        <w:t>（三）加强监督考核，确保落地见效。</w:t>
      </w:r>
    </w:p>
    <w:p>
      <w:pPr>
        <w:spacing w:line="260" w:lineRule="auto"/>
        <w:rPr>
          <w:rFonts w:ascii="SimSun"/>
          <w:sz w:val="21"/>
        </w:rPr>
      </w:pPr>
      <w:r/>
    </w:p>
    <w:p>
      <w:pPr>
        <w:ind w:firstLine="539"/>
        <w:spacing w:before="47" w:line="218" w:lineRule="exact"/>
        <w:rPr>
          <w:rFonts w:ascii="Arial" w:hAnsi="Arial" w:eastAsia="Arial" w:cs="Arial"/>
          <w:sz w:val="16"/>
          <w:szCs w:val="16"/>
        </w:rPr>
      </w:pPr>
      <w:r>
        <w:rPr>
          <w:rFonts w:ascii="Arial" w:hAnsi="Arial" w:eastAsia="Arial" w:cs="Arial"/>
          <w:sz w:val="16"/>
          <w:szCs w:val="16"/>
          <w:spacing w:val="-1"/>
        </w:rPr>
        <w:t>kjs.mof.gov.cn/zhengcejiedu/202202/t20220210_3786841.htm</w:t>
      </w:r>
      <w:r>
        <w:rPr>
          <w:rFonts w:ascii="Arial" w:hAnsi="Arial" w:eastAsia="Arial" w:cs="Arial"/>
          <w:sz w:val="16"/>
          <w:szCs w:val="16"/>
          <w:w w:val="101"/>
        </w:rPr>
        <w:t>                                                                                                                                           </w:t>
      </w:r>
      <w:r>
        <w:rPr>
          <w:rFonts w:ascii="Arial" w:hAnsi="Arial" w:eastAsia="Arial" w:cs="Arial"/>
          <w:sz w:val="16"/>
          <w:szCs w:val="16"/>
          <w:spacing w:val="-1"/>
        </w:rPr>
        <w:t>4/5</w:t>
      </w:r>
    </w:p>
    <w:p>
      <w:pPr>
        <w:sectPr>
          <w:headerReference w:type="default" r:id="rId7"/>
          <w:pgSz w:w="11900" w:h="16839"/>
          <w:pgMar w:top="293" w:right="0" w:bottom="0" w:left="0" w:header="0" w:footer="0" w:gutter="0"/>
        </w:sectPr>
        <w:rPr/>
      </w:pPr>
    </w:p>
    <w:p>
      <w:pPr>
        <w:ind w:firstLine="533"/>
        <w:spacing w:line="204" w:lineRule="auto"/>
        <w:rPr>
          <w:rFonts w:ascii="Microsoft YaHei" w:hAnsi="Microsoft YaHei" w:eastAsia="Microsoft YaHei" w:cs="Microsoft YaHei"/>
          <w:sz w:val="16"/>
          <w:szCs w:val="16"/>
        </w:rPr>
      </w:pPr>
      <w:r>
        <w:drawing>
          <wp:anchor distT="0" distB="0" distL="0" distR="0" simplePos="0" relativeHeight="251669504" behindDoc="0" locked="0" layoutInCell="0" allowOverlap="1">
            <wp:simplePos x="0" y="0"/>
            <wp:positionH relativeFrom="page">
              <wp:posOffset>5410758</wp:posOffset>
            </wp:positionH>
            <wp:positionV relativeFrom="page">
              <wp:posOffset>2172104</wp:posOffset>
            </wp:positionV>
            <wp:extent cx="150317" cy="150317"/>
            <wp:effectExtent l="0" t="0" r="0" b="0"/>
            <wp:wrapNone/>
            <wp:docPr id="4" name="IM 4"/>
            <wp:cNvGraphicFramePr/>
            <a:graphic>
              <a:graphicData uri="http://schemas.openxmlformats.org/drawingml/2006/picture">
                <pic:pic>
                  <pic:nvPicPr>
                    <pic:cNvPr id="4" name="IM 4"/>
                    <pic:cNvPicPr/>
                  </pic:nvPicPr>
                  <pic:blipFill>
                    <a:blip r:embed="rId9"/>
                    <a:stretch>
                      <a:fillRect/>
                    </a:stretch>
                  </pic:blipFill>
                  <pic:spPr>
                    <a:xfrm rot="0">
                      <a:off x="0" y="0"/>
                      <a:ext cx="150317" cy="150317"/>
                    </a:xfrm>
                    <a:prstGeom prst="rect">
                      <a:avLst/>
                    </a:prstGeom>
                  </pic:spPr>
                </pic:pic>
              </a:graphicData>
            </a:graphic>
          </wp:anchor>
        </w:drawing>
      </w:r>
      <w:r>
        <w:drawing>
          <wp:anchor distT="0" distB="0" distL="0" distR="0" simplePos="0" relativeHeight="251668480" behindDoc="0" locked="0" layoutInCell="0" allowOverlap="1">
            <wp:simplePos x="0" y="0"/>
            <wp:positionH relativeFrom="page">
              <wp:posOffset>457123</wp:posOffset>
            </wp:positionH>
            <wp:positionV relativeFrom="page">
              <wp:posOffset>2814374</wp:posOffset>
            </wp:positionV>
            <wp:extent cx="6648119" cy="6832"/>
            <wp:effectExtent l="0" t="0" r="0" b="0"/>
            <wp:wrapNone/>
            <wp:docPr id="5" name="IM 5"/>
            <wp:cNvGraphicFramePr/>
            <a:graphic>
              <a:graphicData uri="http://schemas.openxmlformats.org/drawingml/2006/picture">
                <pic:pic>
                  <pic:nvPicPr>
                    <pic:cNvPr id="5" name="IM 5"/>
                    <pic:cNvPicPr/>
                  </pic:nvPicPr>
                  <pic:blipFill>
                    <a:blip r:embed="rId10"/>
                    <a:stretch>
                      <a:fillRect/>
                    </a:stretch>
                  </pic:blipFill>
                  <pic:spPr>
                    <a:xfrm rot="0">
                      <a:off x="0" y="0"/>
                      <a:ext cx="6648119" cy="6832"/>
                    </a:xfrm>
                    <a:prstGeom prst="rect">
                      <a:avLst/>
                    </a:prstGeom>
                  </pic:spPr>
                </pic:pic>
              </a:graphicData>
            </a:graphic>
          </wp:anchor>
        </w:drawing>
      </w:r>
      <w:r>
        <w:drawing>
          <wp:anchor distT="0" distB="0" distL="0" distR="0" simplePos="0" relativeHeight="251666432" behindDoc="0" locked="0" layoutInCell="0" allowOverlap="1">
            <wp:simplePos x="0" y="0"/>
            <wp:positionH relativeFrom="page">
              <wp:posOffset>1297533</wp:posOffset>
            </wp:positionH>
            <wp:positionV relativeFrom="page">
              <wp:posOffset>3299483</wp:posOffset>
            </wp:positionV>
            <wp:extent cx="840409" cy="362128"/>
            <wp:effectExtent l="0" t="0" r="0" b="0"/>
            <wp:wrapNone/>
            <wp:docPr id="6" name="IM 6"/>
            <wp:cNvGraphicFramePr/>
            <a:graphic>
              <a:graphicData uri="http://schemas.openxmlformats.org/drawingml/2006/picture">
                <pic:pic>
                  <pic:nvPicPr>
                    <pic:cNvPr id="6" name="IM 6"/>
                    <pic:cNvPicPr/>
                  </pic:nvPicPr>
                  <pic:blipFill>
                    <a:blip r:embed="rId11"/>
                    <a:stretch>
                      <a:fillRect/>
                    </a:stretch>
                  </pic:blipFill>
                  <pic:spPr>
                    <a:xfrm rot="0">
                      <a:off x="0" y="0"/>
                      <a:ext cx="840409" cy="362128"/>
                    </a:xfrm>
                    <a:prstGeom prst="rect">
                      <a:avLst/>
                    </a:prstGeom>
                  </pic:spPr>
                </pic:pic>
              </a:graphicData>
            </a:graphic>
          </wp:anchor>
        </w:drawing>
      </w:r>
      <w:r>
        <w:drawing>
          <wp:anchor distT="0" distB="0" distL="0" distR="0" simplePos="0" relativeHeight="251667456" behindDoc="0" locked="0" layoutInCell="0" allowOverlap="1">
            <wp:simplePos x="0" y="0"/>
            <wp:positionH relativeFrom="page">
              <wp:posOffset>2172106</wp:posOffset>
            </wp:positionH>
            <wp:positionV relativeFrom="page">
              <wp:posOffset>3265321</wp:posOffset>
            </wp:positionV>
            <wp:extent cx="471449" cy="430454"/>
            <wp:effectExtent l="0" t="0" r="0" b="0"/>
            <wp:wrapNone/>
            <wp:docPr id="7" name="IM 7"/>
            <wp:cNvGraphicFramePr/>
            <a:graphic>
              <a:graphicData uri="http://schemas.openxmlformats.org/drawingml/2006/picture">
                <pic:pic>
                  <pic:nvPicPr>
                    <pic:cNvPr id="7" name="IM 7"/>
                    <pic:cNvPicPr/>
                  </pic:nvPicPr>
                  <pic:blipFill>
                    <a:blip r:embed="rId12"/>
                    <a:stretch>
                      <a:fillRect/>
                    </a:stretch>
                  </pic:blipFill>
                  <pic:spPr>
                    <a:xfrm rot="0">
                      <a:off x="0" y="0"/>
                      <a:ext cx="471449" cy="430454"/>
                    </a:xfrm>
                    <a:prstGeom prst="rect">
                      <a:avLst/>
                    </a:prstGeom>
                  </pic:spPr>
                </pic:pic>
              </a:graphicData>
            </a:graphic>
          </wp:anchor>
        </w:drawing>
      </w:r>
      <w:r>
        <w:rPr>
          <w:rFonts w:ascii="Arial" w:hAnsi="Arial" w:eastAsia="Arial" w:cs="Arial"/>
          <w:sz w:val="16"/>
          <w:szCs w:val="16"/>
          <w:spacing w:val="-2"/>
          <w:position w:val="1"/>
        </w:rPr>
        <w:t>2022/4/27</w:t>
      </w:r>
      <w:r>
        <w:rPr>
          <w:rFonts w:ascii="Arial" w:hAnsi="Arial" w:eastAsia="Arial" w:cs="Arial"/>
          <w:sz w:val="16"/>
          <w:szCs w:val="16"/>
          <w:spacing w:val="4"/>
          <w:position w:val="1"/>
        </w:rPr>
        <w:t>                </w:t>
      </w:r>
      <w:r>
        <w:rPr>
          <w:rFonts w:ascii="Microsoft YaHei" w:hAnsi="Microsoft YaHei" w:eastAsia="Microsoft YaHei" w:cs="Microsoft YaHei"/>
          <w:sz w:val="16"/>
          <w:szCs w:val="16"/>
          <w:spacing w:val="-2"/>
        </w:rPr>
        <w:t>加快会计数字化转型</w:t>
      </w:r>
      <w:r>
        <w:rPr>
          <w:rFonts w:ascii="Microsoft YaHei" w:hAnsi="Microsoft YaHei" w:eastAsia="Microsoft YaHei" w:cs="Microsoft YaHei"/>
          <w:sz w:val="16"/>
          <w:szCs w:val="16"/>
          <w:spacing w:val="6"/>
          <w:w w:val="101"/>
        </w:rPr>
        <w:t> </w:t>
      </w:r>
      <w:r>
        <w:rPr>
          <w:rFonts w:ascii="Microsoft YaHei" w:hAnsi="Microsoft YaHei" w:eastAsia="Microsoft YaHei" w:cs="Microsoft YaHei"/>
          <w:sz w:val="16"/>
          <w:szCs w:val="16"/>
          <w:spacing w:val="-2"/>
        </w:rPr>
        <w:t>支撑会计职能拓展推动会计信息化工作向更高水平迈进</w:t>
      </w:r>
      <w:r>
        <w:rPr>
          <w:rFonts w:ascii="Arial" w:hAnsi="Arial" w:eastAsia="Arial" w:cs="Arial"/>
          <w:sz w:val="16"/>
          <w:szCs w:val="16"/>
          <w:spacing w:val="-2"/>
        </w:rPr>
        <w:t>——</w:t>
      </w:r>
      <w:r>
        <w:rPr>
          <w:rFonts w:ascii="Arial" w:hAnsi="Arial" w:eastAsia="Arial" w:cs="Arial"/>
          <w:sz w:val="16"/>
          <w:szCs w:val="16"/>
          <w:spacing w:val="33"/>
          <w:w w:val="102"/>
        </w:rPr>
        <w:t> </w:t>
      </w:r>
      <w:r>
        <w:rPr>
          <w:rFonts w:ascii="Microsoft YaHei" w:hAnsi="Microsoft YaHei" w:eastAsia="Microsoft YaHei" w:cs="Microsoft YaHei"/>
          <w:sz w:val="16"/>
          <w:szCs w:val="16"/>
          <w:spacing w:val="-2"/>
        </w:rPr>
        <w:t>《会计改革与发展</w:t>
      </w:r>
      <w:r>
        <w:rPr>
          <w:rFonts w:ascii="Arial" w:hAnsi="Arial" w:eastAsia="Arial" w:cs="Arial"/>
          <w:sz w:val="16"/>
          <w:szCs w:val="16"/>
          <w:spacing w:val="-2"/>
        </w:rPr>
        <w:t>“</w:t>
      </w:r>
      <w:r>
        <w:rPr>
          <w:rFonts w:ascii="Microsoft YaHei" w:hAnsi="Microsoft YaHei" w:eastAsia="Microsoft YaHei" w:cs="Microsoft YaHei"/>
          <w:sz w:val="16"/>
          <w:szCs w:val="16"/>
          <w:spacing w:val="-2"/>
        </w:rPr>
        <w:t>十四五</w:t>
      </w:r>
      <w:r>
        <w:rPr>
          <w:rFonts w:ascii="Arial" w:hAnsi="Arial" w:eastAsia="Arial" w:cs="Arial"/>
          <w:sz w:val="16"/>
          <w:szCs w:val="16"/>
          <w:spacing w:val="-2"/>
        </w:rPr>
        <w:t>”</w:t>
      </w:r>
      <w:r>
        <w:rPr>
          <w:rFonts w:ascii="Microsoft YaHei" w:hAnsi="Microsoft YaHei" w:eastAsia="Microsoft YaHei" w:cs="Microsoft YaHei"/>
          <w:sz w:val="16"/>
          <w:szCs w:val="16"/>
          <w:spacing w:val="-2"/>
        </w:rPr>
        <w:t>规划纲要》系列解读之六</w:t>
      </w:r>
    </w:p>
    <w:p>
      <w:pPr>
        <w:ind w:firstLine="1395"/>
        <w:spacing w:before="119" w:line="187" w:lineRule="auto"/>
        <w:rPr>
          <w:rFonts w:ascii="SimSun" w:hAnsi="SimSun" w:eastAsia="SimSun" w:cs="SimSun"/>
          <w:sz w:val="17"/>
          <w:szCs w:val="17"/>
        </w:rPr>
      </w:pPr>
      <w:r>
        <w:rPr>
          <w:rFonts w:ascii="SimSun" w:hAnsi="SimSun" w:eastAsia="SimSun" w:cs="SimSun"/>
          <w:sz w:val="17"/>
          <w:szCs w:val="17"/>
          <w:color w:val="333333"/>
          <w:spacing w:val="5"/>
        </w:rPr>
        <w:t>会计信息化工作的落地实施，离不开各级财政部门和中央有关主管部门的大力支持。各级财政部门和中央有关主管部门要对</w:t>
      </w:r>
    </w:p>
    <w:p>
      <w:pPr>
        <w:ind w:left="1043" w:right="1016" w:firstLine="2"/>
        <w:spacing w:before="130" w:line="327" w:lineRule="auto"/>
        <w:rPr>
          <w:rFonts w:ascii="SimSun" w:hAnsi="SimSun" w:eastAsia="SimSun" w:cs="SimSun"/>
          <w:sz w:val="17"/>
          <w:szCs w:val="17"/>
        </w:rPr>
      </w:pPr>
      <w:r>
        <w:rPr>
          <w:rFonts w:ascii="SimSun" w:hAnsi="SimSun" w:eastAsia="SimSun" w:cs="SimSun"/>
          <w:sz w:val="17"/>
          <w:szCs w:val="17"/>
          <w:color w:val="333333"/>
          <w:spacing w:val="-1"/>
        </w:rPr>
        <w:t>《规划纲要》</w:t>
      </w:r>
      <w:r>
        <w:rPr>
          <w:rFonts w:ascii="SimSun" w:hAnsi="SimSun" w:eastAsia="SimSun" w:cs="SimSun"/>
          <w:sz w:val="17"/>
          <w:szCs w:val="17"/>
          <w:color w:val="333333"/>
          <w:spacing w:val="34"/>
        </w:rPr>
        <w:t> </w:t>
      </w:r>
      <w:r>
        <w:rPr>
          <w:rFonts w:ascii="SimSun" w:hAnsi="SimSun" w:eastAsia="SimSun" w:cs="SimSun"/>
          <w:sz w:val="17"/>
          <w:szCs w:val="17"/>
          <w:color w:val="333333"/>
          <w:spacing w:val="-1"/>
        </w:rPr>
        <w:t>和《信息化规划》</w:t>
      </w:r>
      <w:r>
        <w:rPr>
          <w:rFonts w:ascii="SimSun" w:hAnsi="SimSun" w:eastAsia="SimSun" w:cs="SimSun"/>
          <w:sz w:val="17"/>
          <w:szCs w:val="17"/>
          <w:color w:val="333333"/>
          <w:spacing w:val="-1"/>
        </w:rPr>
        <w:t> </w:t>
      </w:r>
      <w:r>
        <w:rPr>
          <w:rFonts w:ascii="SimSun" w:hAnsi="SimSun" w:eastAsia="SimSun" w:cs="SimSun"/>
          <w:sz w:val="17"/>
          <w:szCs w:val="17"/>
          <w:color w:val="333333"/>
          <w:spacing w:val="-1"/>
        </w:rPr>
        <w:t>确定的会计信息化工作目标任务进行细化分解，明确“十四五”时期每个阶段的进度安排，落实财</w:t>
      </w:r>
      <w:r>
        <w:rPr>
          <w:rFonts w:ascii="SimSun" w:hAnsi="SimSun" w:eastAsia="SimSun" w:cs="SimSun"/>
          <w:sz w:val="17"/>
          <w:szCs w:val="17"/>
          <w:color w:val="333333"/>
          <w:w w:val="101"/>
        </w:rPr>
        <w:t> </w:t>
      </w:r>
      <w:r>
        <w:rPr>
          <w:rFonts w:ascii="SimSun" w:hAnsi="SimSun" w:eastAsia="SimSun" w:cs="SimSun"/>
          <w:sz w:val="17"/>
          <w:szCs w:val="17"/>
          <w:color w:val="333333"/>
          <w:spacing w:val="2"/>
        </w:rPr>
        <w:t>政部门和有关主管部门的责任划分，加强对会计信息化建设的指导、督促与落实。各级财政部门和中央有关主管部门要定期检查、</w:t>
      </w:r>
      <w:r>
        <w:rPr>
          <w:rFonts w:ascii="SimSun" w:hAnsi="SimSun" w:eastAsia="SimSun" w:cs="SimSun"/>
          <w:sz w:val="17"/>
          <w:szCs w:val="17"/>
          <w:color w:val="333333"/>
          <w:spacing w:val="35"/>
        </w:rPr>
        <w:t> </w:t>
      </w:r>
      <w:r>
        <w:rPr>
          <w:rFonts w:ascii="SimSun" w:hAnsi="SimSun" w:eastAsia="SimSun" w:cs="SimSun"/>
          <w:sz w:val="17"/>
          <w:szCs w:val="17"/>
          <w:color w:val="333333"/>
          <w:spacing w:val="2"/>
        </w:rPr>
        <w:t>评估《规划纲要》</w:t>
      </w:r>
      <w:r>
        <w:rPr>
          <w:rFonts w:ascii="SimSun" w:hAnsi="SimSun" w:eastAsia="SimSun" w:cs="SimSun"/>
          <w:sz w:val="17"/>
          <w:szCs w:val="17"/>
          <w:color w:val="333333"/>
          <w:spacing w:val="20"/>
          <w:w w:val="101"/>
        </w:rPr>
        <w:t> </w:t>
      </w:r>
      <w:r>
        <w:rPr>
          <w:rFonts w:ascii="SimSun" w:hAnsi="SimSun" w:eastAsia="SimSun" w:cs="SimSun"/>
          <w:sz w:val="17"/>
          <w:szCs w:val="17"/>
          <w:color w:val="333333"/>
          <w:spacing w:val="2"/>
        </w:rPr>
        <w:t>和《信息化规划》</w:t>
      </w:r>
      <w:r>
        <w:rPr>
          <w:rFonts w:ascii="SimSun" w:hAnsi="SimSun" w:eastAsia="SimSun" w:cs="SimSun"/>
          <w:sz w:val="17"/>
          <w:szCs w:val="17"/>
          <w:color w:val="333333"/>
          <w:spacing w:val="16"/>
        </w:rPr>
        <w:t> </w:t>
      </w:r>
      <w:r>
        <w:rPr>
          <w:rFonts w:ascii="SimSun" w:hAnsi="SimSun" w:eastAsia="SimSun" w:cs="SimSun"/>
          <w:sz w:val="17"/>
          <w:szCs w:val="17"/>
          <w:color w:val="333333"/>
          <w:spacing w:val="2"/>
        </w:rPr>
        <w:t>的落实情况，深度挖掘会计数字化、智能财务、财务机器人等会计信息化工作的最佳案例实</w:t>
      </w:r>
      <w:r>
        <w:rPr>
          <w:rFonts w:ascii="SimSun" w:hAnsi="SimSun" w:eastAsia="SimSun" w:cs="SimSun"/>
          <w:sz w:val="17"/>
          <w:szCs w:val="17"/>
          <w:color w:val="333333"/>
        </w:rPr>
        <w:t> </w:t>
      </w:r>
      <w:r>
        <w:rPr>
          <w:rFonts w:ascii="SimSun" w:hAnsi="SimSun" w:eastAsia="SimSun" w:cs="SimSun"/>
          <w:sz w:val="17"/>
          <w:szCs w:val="17"/>
          <w:color w:val="333333"/>
          <w:spacing w:val="1"/>
        </w:rPr>
        <w:t>践，及时推广先进成熟的经验做法，同时针对会计信息化落地实施中存在各类问题，及时采取有效措施，确保《规划纲要》</w:t>
      </w:r>
      <w:r>
        <w:rPr>
          <w:rFonts w:ascii="SimSun" w:hAnsi="SimSun" w:eastAsia="SimSun" w:cs="SimSun"/>
          <w:sz w:val="17"/>
          <w:szCs w:val="17"/>
          <w:color w:val="333333"/>
          <w:spacing w:val="7"/>
        </w:rPr>
        <w:t> </w:t>
      </w:r>
      <w:r>
        <w:rPr>
          <w:rFonts w:ascii="SimSun" w:hAnsi="SimSun" w:eastAsia="SimSun" w:cs="SimSun"/>
          <w:sz w:val="17"/>
          <w:szCs w:val="17"/>
          <w:color w:val="333333"/>
          <w:spacing w:val="1"/>
        </w:rPr>
        <w:t>和《信</w:t>
      </w:r>
      <w:r>
        <w:rPr>
          <w:rFonts w:ascii="SimSun" w:hAnsi="SimSun" w:eastAsia="SimSun" w:cs="SimSun"/>
          <w:sz w:val="17"/>
          <w:szCs w:val="17"/>
          <w:color w:val="333333"/>
        </w:rPr>
        <w:t> </w:t>
      </w:r>
      <w:r>
        <w:rPr>
          <w:rFonts w:ascii="SimSun" w:hAnsi="SimSun" w:eastAsia="SimSun" w:cs="SimSun"/>
          <w:sz w:val="17"/>
          <w:szCs w:val="17"/>
          <w:color w:val="333333"/>
        </w:rPr>
        <w:t>息化规划》确定的各项目标任务落到实处、取得实效。</w:t>
      </w:r>
    </w:p>
    <w:p>
      <w:pPr>
        <w:spacing w:line="73" w:lineRule="exact"/>
        <w:rPr/>
      </w:pPr>
      <w:r/>
    </w:p>
    <w:p>
      <w:pPr>
        <w:sectPr>
          <w:headerReference w:type="default" r:id="rId8"/>
          <w:pgSz w:w="11900" w:h="16839"/>
          <w:pgMar w:top="293" w:right="0" w:bottom="0" w:left="0" w:header="0" w:footer="0" w:gutter="0"/>
          <w:cols w:equalWidth="0" w:num="1">
            <w:col w:w="11900" w:space="0"/>
          </w:cols>
        </w:sectPr>
        <w:rPr/>
      </w:pPr>
    </w:p>
    <w:p>
      <w:pPr>
        <w:ind w:firstLine="1039"/>
        <w:spacing w:before="34" w:line="180" w:lineRule="auto"/>
        <w:rPr>
          <w:rFonts w:ascii="Microsoft YaHei" w:hAnsi="Microsoft YaHei" w:eastAsia="Microsoft YaHei" w:cs="Microsoft YaHei"/>
          <w:sz w:val="17"/>
          <w:szCs w:val="17"/>
        </w:rPr>
      </w:pPr>
      <w:r>
        <w:rPr>
          <w:rFonts w:ascii="Microsoft YaHei" w:hAnsi="Microsoft YaHei" w:eastAsia="Microsoft YaHei" w:cs="Microsoft YaHei"/>
          <w:sz w:val="17"/>
          <w:szCs w:val="17"/>
          <w:color w:val="333333"/>
          <w:spacing w:val="1"/>
        </w:rPr>
        <w:t>相关文章:</w:t>
      </w:r>
    </w:p>
    <w:p>
      <w:pPr>
        <w:ind w:firstLine="1040"/>
        <w:spacing w:before="165" w:line="188" w:lineRule="auto"/>
        <w:rPr>
          <w:rFonts w:ascii="Microsoft YaHei" w:hAnsi="Microsoft YaHei" w:eastAsia="Microsoft YaHei" w:cs="Microsoft YaHei"/>
          <w:sz w:val="16"/>
          <w:szCs w:val="16"/>
        </w:rPr>
      </w:pPr>
      <w:hyperlink w:history="true" r:id="rId13">
        <w:r>
          <w:rPr>
            <w:rFonts w:ascii="Microsoft YaHei" w:hAnsi="Microsoft YaHei" w:eastAsia="Microsoft YaHei" w:cs="Microsoft YaHei"/>
            <w:sz w:val="16"/>
            <w:szCs w:val="16"/>
            <w:color w:val="2B50A8"/>
            <w:spacing w:val="1"/>
          </w:rPr>
          <w:t>关于印发《会计改革与发展“十四五”规划纲要》的通知</w:t>
        </w:r>
      </w:hyperlink>
    </w:p>
    <w:p>
      <w:pPr>
        <w:ind w:firstLine="1039"/>
        <w:spacing w:before="273" w:line="180" w:lineRule="auto"/>
        <w:rPr>
          <w:rFonts w:ascii="Microsoft YaHei" w:hAnsi="Microsoft YaHei" w:eastAsia="Microsoft YaHei" w:cs="Microsoft YaHei"/>
          <w:sz w:val="17"/>
          <w:szCs w:val="17"/>
        </w:rPr>
      </w:pPr>
      <w:r>
        <w:rPr>
          <w:rFonts w:ascii="Microsoft YaHei" w:hAnsi="Microsoft YaHei" w:eastAsia="Microsoft YaHei" w:cs="Microsoft YaHei"/>
          <w:sz w:val="17"/>
          <w:szCs w:val="17"/>
          <w:color w:val="333333"/>
        </w:rPr>
        <w:t>发布日期:</w:t>
      </w:r>
      <w:r>
        <w:rPr>
          <w:rFonts w:ascii="Microsoft YaHei" w:hAnsi="Microsoft YaHei" w:eastAsia="Microsoft YaHei" w:cs="Microsoft YaHei"/>
          <w:sz w:val="17"/>
          <w:szCs w:val="17"/>
          <w:color w:val="333333"/>
          <w:spacing w:val="11"/>
          <w:w w:val="101"/>
        </w:rPr>
        <w:t>  </w:t>
      </w:r>
      <w:r>
        <w:rPr>
          <w:rFonts w:ascii="Microsoft YaHei" w:hAnsi="Microsoft YaHei" w:eastAsia="Microsoft YaHei" w:cs="Microsoft YaHei"/>
          <w:sz w:val="17"/>
          <w:szCs w:val="17"/>
          <w:color w:val="333333"/>
        </w:rPr>
        <w:t>2022年02月11日</w:t>
      </w:r>
    </w:p>
    <w:p>
      <w:pPr>
        <w:rPr/>
      </w:pPr>
      <w:r/>
    </w:p>
    <w:p>
      <w:pPr>
        <w:spacing w:line="215" w:lineRule="exact"/>
        <w:rPr/>
      </w:pPr>
      <w:r/>
    </w:p>
    <w:p>
      <w:pPr>
        <w:spacing w:line="14" w:lineRule="auto"/>
        <w:rPr>
          <w:rFonts w:ascii="SimSun"/>
          <w:sz w:val="2"/>
        </w:rPr>
      </w:pPr>
      <w:r>
        <w:rPr>
          <w:rFonts w:ascii="SimSun" w:hAnsi="SimSun" w:eastAsia="SimSun" w:cs="SimSun"/>
          <w:sz w:val="2"/>
          <w:szCs w:val="2"/>
        </w:rPr>
        <w:br w:type="column"/>
      </w:r>
    </w:p>
    <w:p>
      <w:pPr>
        <w:spacing w:line="260" w:lineRule="auto"/>
        <w:rPr>
          <w:rFonts w:ascii="SimSun"/>
          <w:sz w:val="21"/>
        </w:rPr>
      </w:pPr>
      <w:r/>
    </w:p>
    <w:p>
      <w:pPr>
        <w:spacing w:line="261" w:lineRule="auto"/>
        <w:rPr>
          <w:rFonts w:ascii="SimSun"/>
          <w:sz w:val="21"/>
        </w:rPr>
      </w:pPr>
      <w:r/>
    </w:p>
    <w:p>
      <w:pPr>
        <w:spacing w:line="261" w:lineRule="auto"/>
        <w:rPr>
          <w:rFonts w:ascii="SimSun"/>
          <w:sz w:val="21"/>
        </w:rPr>
      </w:pPr>
      <w:r/>
    </w:p>
    <w:p>
      <w:pPr>
        <w:ind w:firstLine="2054"/>
        <w:spacing w:before="1" w:line="279" w:lineRule="exact"/>
        <w:textAlignment w:val="center"/>
        <w:rPr/>
      </w:pPr>
      <w:r>
        <w:drawing>
          <wp:inline distT="0" distB="0" distL="0" distR="0">
            <wp:extent cx="177647" cy="177647"/>
            <wp:effectExtent l="0" t="0" r="0" b="0"/>
            <wp:docPr id="8" name="IM 8"/>
            <wp:cNvGraphicFramePr/>
            <a:graphic>
              <a:graphicData uri="http://schemas.openxmlformats.org/drawingml/2006/picture">
                <pic:pic>
                  <pic:nvPicPr>
                    <pic:cNvPr id="8" name="IM 8"/>
                    <pic:cNvPicPr/>
                  </pic:nvPicPr>
                  <pic:blipFill>
                    <a:blip r:embed="rId14"/>
                    <a:stretch>
                      <a:fillRect/>
                    </a:stretch>
                  </pic:blipFill>
                  <pic:spPr>
                    <a:xfrm rot="0">
                      <a:off x="0" y="0"/>
                      <a:ext cx="177647" cy="177647"/>
                    </a:xfrm>
                    <a:prstGeom prst="rect">
                      <a:avLst/>
                    </a:prstGeom>
                  </pic:spPr>
                </pic:pic>
              </a:graphicData>
            </a:graphic>
          </wp:inline>
        </w:drawing>
      </w:r>
    </w:p>
    <w:p>
      <w:pPr>
        <w:ind w:firstLine="1548"/>
        <w:spacing w:before="188" w:line="194" w:lineRule="auto"/>
        <w:rPr>
          <w:rFonts w:ascii="Microsoft YaHei" w:hAnsi="Microsoft YaHei" w:eastAsia="Microsoft YaHei" w:cs="Microsoft YaHei"/>
          <w:sz w:val="16"/>
          <w:szCs w:val="16"/>
        </w:rPr>
      </w:pPr>
      <w:r>
        <w:rPr>
          <w:rFonts w:ascii="Microsoft YaHei" w:hAnsi="Microsoft YaHei" w:eastAsia="Microsoft YaHei" w:cs="Microsoft YaHei"/>
          <w:sz w:val="16"/>
          <w:szCs w:val="16"/>
          <w:color w:val="333333"/>
          <w:spacing w:val="-10"/>
        </w:rPr>
        <w:t>【</w:t>
      </w:r>
      <w:r>
        <w:rPr>
          <w:rFonts w:ascii="Microsoft YaHei" w:hAnsi="Microsoft YaHei" w:eastAsia="Microsoft YaHei" w:cs="Microsoft YaHei"/>
          <w:sz w:val="16"/>
          <w:szCs w:val="16"/>
          <w:color w:val="333333"/>
          <w:spacing w:val="-8"/>
        </w:rPr>
        <w:t> </w:t>
      </w:r>
      <w:r>
        <w:rPr>
          <w:rFonts w:ascii="Microsoft YaHei" w:hAnsi="Microsoft YaHei" w:eastAsia="Microsoft YaHei" w:cs="Microsoft YaHei"/>
          <w:sz w:val="12"/>
          <w:szCs w:val="12"/>
          <w:color w:val="333333"/>
          <w:spacing w:val="-10"/>
        </w:rPr>
        <w:t>大</w:t>
      </w:r>
      <w:r>
        <w:rPr>
          <w:rFonts w:ascii="Microsoft YaHei" w:hAnsi="Microsoft YaHei" w:eastAsia="Microsoft YaHei" w:cs="Microsoft YaHei"/>
          <w:sz w:val="12"/>
          <w:szCs w:val="12"/>
          <w:color w:val="333333"/>
          <w:spacing w:val="9"/>
          <w:w w:val="101"/>
        </w:rPr>
        <w:t> </w:t>
      </w:r>
      <w:r>
        <w:rPr>
          <w:rFonts w:ascii="Microsoft YaHei" w:hAnsi="Microsoft YaHei" w:eastAsia="Microsoft YaHei" w:cs="Microsoft YaHei"/>
          <w:sz w:val="12"/>
          <w:szCs w:val="12"/>
          <w:color w:val="333333"/>
          <w:spacing w:val="-10"/>
        </w:rPr>
        <w:t>中</w:t>
      </w:r>
      <w:r>
        <w:rPr>
          <w:rFonts w:ascii="Microsoft YaHei" w:hAnsi="Microsoft YaHei" w:eastAsia="Microsoft YaHei" w:cs="Microsoft YaHei"/>
          <w:sz w:val="12"/>
          <w:szCs w:val="12"/>
          <w:color w:val="333333"/>
          <w:spacing w:val="1"/>
          <w:w w:val="101"/>
        </w:rPr>
        <w:t> </w:t>
      </w:r>
      <w:r>
        <w:rPr>
          <w:rFonts w:ascii="Microsoft YaHei" w:hAnsi="Microsoft YaHei" w:eastAsia="Microsoft YaHei" w:cs="Microsoft YaHei"/>
          <w:sz w:val="12"/>
          <w:szCs w:val="12"/>
          <w:color w:val="333333"/>
          <w:spacing w:val="-10"/>
        </w:rPr>
        <w:t>小</w:t>
      </w:r>
      <w:r>
        <w:rPr>
          <w:rFonts w:ascii="Microsoft YaHei" w:hAnsi="Microsoft YaHei" w:eastAsia="Microsoft YaHei" w:cs="Microsoft YaHei"/>
          <w:sz w:val="12"/>
          <w:szCs w:val="12"/>
          <w:color w:val="333333"/>
          <w:spacing w:val="-1"/>
        </w:rPr>
        <w:t> </w:t>
      </w:r>
      <w:r>
        <w:rPr>
          <w:rFonts w:ascii="Microsoft YaHei" w:hAnsi="Microsoft YaHei" w:eastAsia="Microsoft YaHei" w:cs="Microsoft YaHei"/>
          <w:sz w:val="16"/>
          <w:szCs w:val="16"/>
          <w:color w:val="333333"/>
          <w:spacing w:val="-10"/>
        </w:rPr>
        <w:t>】</w:t>
      </w:r>
    </w:p>
    <w:p>
      <w:pPr>
        <w:spacing w:line="14" w:lineRule="auto"/>
        <w:rPr>
          <w:rFonts w:ascii="SimSun"/>
          <w:sz w:val="2"/>
        </w:rPr>
      </w:pPr>
      <w:r>
        <w:rPr>
          <w:rFonts w:ascii="SimSun" w:hAnsi="SimSun" w:eastAsia="SimSun" w:cs="SimSun"/>
          <w:sz w:val="2"/>
          <w:szCs w:val="2"/>
        </w:rPr>
        <w:br w:type="column"/>
      </w:r>
    </w:p>
    <w:p>
      <w:pPr>
        <w:spacing w:line="260" w:lineRule="auto"/>
        <w:rPr>
          <w:rFonts w:ascii="SimSun"/>
          <w:sz w:val="21"/>
        </w:rPr>
      </w:pPr>
      <w:r/>
    </w:p>
    <w:p>
      <w:pPr>
        <w:spacing w:line="261" w:lineRule="auto"/>
        <w:rPr>
          <w:rFonts w:ascii="SimSun"/>
          <w:sz w:val="21"/>
        </w:rPr>
      </w:pPr>
      <w:r/>
    </w:p>
    <w:p>
      <w:pPr>
        <w:spacing w:line="261" w:lineRule="auto"/>
        <w:rPr>
          <w:rFonts w:ascii="SimSun"/>
          <w:sz w:val="21"/>
        </w:rPr>
      </w:pPr>
      <w:r/>
    </w:p>
    <w:p>
      <w:pPr>
        <w:spacing w:before="1" w:line="279" w:lineRule="exact"/>
        <w:textAlignment w:val="center"/>
        <w:rPr/>
      </w:pPr>
      <w:r>
        <w:drawing>
          <wp:inline distT="0" distB="0" distL="0" distR="0">
            <wp:extent cx="177647" cy="177647"/>
            <wp:effectExtent l="0" t="0" r="0" b="0"/>
            <wp:docPr id="9" name="IM 9"/>
            <wp:cNvGraphicFramePr/>
            <a:graphic>
              <a:graphicData uri="http://schemas.openxmlformats.org/drawingml/2006/picture">
                <pic:pic>
                  <pic:nvPicPr>
                    <pic:cNvPr id="9" name="IM 9"/>
                    <pic:cNvPicPr/>
                  </pic:nvPicPr>
                  <pic:blipFill>
                    <a:blip r:embed="rId15"/>
                    <a:stretch>
                      <a:fillRect/>
                    </a:stretch>
                  </pic:blipFill>
                  <pic:spPr>
                    <a:xfrm rot="0">
                      <a:off x="0" y="0"/>
                      <a:ext cx="177647" cy="177647"/>
                    </a:xfrm>
                    <a:prstGeom prst="rect">
                      <a:avLst/>
                    </a:prstGeom>
                  </pic:spPr>
                </pic:pic>
              </a:graphicData>
            </a:graphic>
          </wp:inline>
        </w:drawing>
      </w:r>
    </w:p>
    <w:p>
      <w:pPr>
        <w:ind w:firstLine="102"/>
        <w:spacing w:before="226" w:line="185" w:lineRule="auto"/>
        <w:rPr>
          <w:rFonts w:ascii="Microsoft YaHei" w:hAnsi="Microsoft YaHei" w:eastAsia="Microsoft YaHei" w:cs="Microsoft YaHei"/>
          <w:sz w:val="13"/>
          <w:szCs w:val="13"/>
        </w:rPr>
      </w:pPr>
      <w:hyperlink w:history="true" r:id="rId16">
        <w:r>
          <w:rPr>
            <w:rFonts w:ascii="Microsoft YaHei" w:hAnsi="Microsoft YaHei" w:eastAsia="Microsoft YaHei" w:cs="Microsoft YaHei"/>
            <w:sz w:val="13"/>
            <w:szCs w:val="13"/>
            <w:color w:val="007DC1"/>
            <w:spacing w:val="-4"/>
          </w:rPr>
          <w:t>【打印此页】</w:t>
        </w:r>
      </w:hyperlink>
    </w:p>
    <w:p>
      <w:pPr>
        <w:spacing w:line="14" w:lineRule="auto"/>
        <w:rPr>
          <w:rFonts w:ascii="SimSun"/>
          <w:sz w:val="2"/>
        </w:rPr>
      </w:pPr>
      <w:r>
        <w:rPr>
          <w:rFonts w:ascii="SimSun" w:hAnsi="SimSun" w:eastAsia="SimSun" w:cs="SimSun"/>
          <w:sz w:val="2"/>
          <w:szCs w:val="2"/>
        </w:rPr>
        <w:br w:type="column"/>
      </w:r>
    </w:p>
    <w:p>
      <w:pPr>
        <w:spacing w:line="294" w:lineRule="auto"/>
        <w:rPr>
          <w:rFonts w:ascii="SimSun"/>
          <w:sz w:val="21"/>
        </w:rPr>
      </w:pPr>
      <w:r/>
    </w:p>
    <w:p>
      <w:pPr>
        <w:spacing w:line="294" w:lineRule="auto"/>
        <w:rPr>
          <w:rFonts w:ascii="SimSun"/>
          <w:sz w:val="21"/>
        </w:rPr>
      </w:pPr>
      <w:r/>
    </w:p>
    <w:p>
      <w:pPr>
        <w:spacing w:line="295" w:lineRule="auto"/>
        <w:rPr>
          <w:rFonts w:ascii="SimSun"/>
          <w:sz w:val="21"/>
        </w:rPr>
      </w:pPr>
      <w:r/>
    </w:p>
    <w:p>
      <w:pPr>
        <w:spacing w:line="295" w:lineRule="auto"/>
        <w:rPr>
          <w:rFonts w:ascii="SimSun"/>
          <w:sz w:val="21"/>
        </w:rPr>
      </w:pPr>
      <w:r/>
    </w:p>
    <w:p>
      <w:pPr>
        <w:ind w:firstLine="2"/>
        <w:spacing w:before="56" w:line="185" w:lineRule="auto"/>
        <w:rPr>
          <w:rFonts w:ascii="Microsoft YaHei" w:hAnsi="Microsoft YaHei" w:eastAsia="Microsoft YaHei" w:cs="Microsoft YaHei"/>
          <w:sz w:val="13"/>
          <w:szCs w:val="13"/>
        </w:rPr>
      </w:pPr>
      <w:hyperlink w:history="true" r:id="rId17">
        <w:r>
          <w:rPr>
            <w:rFonts w:ascii="Microsoft YaHei" w:hAnsi="Microsoft YaHei" w:eastAsia="Microsoft YaHei" w:cs="Microsoft YaHei"/>
            <w:sz w:val="13"/>
            <w:szCs w:val="13"/>
            <w:color w:val="333333"/>
            <w:spacing w:val="-3"/>
          </w:rPr>
          <w:t>【关闭窗口】</w:t>
        </w:r>
      </w:hyperlink>
    </w:p>
    <w:p>
      <w:pPr>
        <w:sectPr>
          <w:type w:val="continuous"/>
          <w:pgSz w:w="11900" w:h="16839"/>
          <w:pgMar w:top="293" w:right="0" w:bottom="0" w:left="0" w:header="0" w:footer="0" w:gutter="0"/>
          <w:cols w:equalWidth="0" w:num="4">
            <w:col w:w="6711" w:space="100"/>
            <w:col w:w="2335" w:space="43"/>
            <w:col w:w="872" w:space="53"/>
            <w:col w:w="1786" w:space="0"/>
          </w:cols>
        </w:sectPr>
        <w:rPr/>
      </w:pPr>
    </w:p>
    <w:p>
      <w:pPr>
        <w:rPr/>
      </w:pPr>
      <w:r/>
    </w:p>
    <w:p>
      <w:pPr>
        <w:rPr/>
      </w:pPr>
      <w:r/>
    </w:p>
    <w:p>
      <w:pPr>
        <w:spacing w:line="65" w:lineRule="exact"/>
        <w:rPr/>
      </w:pPr>
      <w:r/>
    </w:p>
    <w:p>
      <w:pPr>
        <w:sectPr>
          <w:type w:val="continuous"/>
          <w:pgSz w:w="11900" w:h="16839"/>
          <w:pgMar w:top="293" w:right="0" w:bottom="0" w:left="0" w:header="0" w:footer="0" w:gutter="0"/>
          <w:cols w:equalWidth="0" w:num="1">
            <w:col w:w="11900" w:space="0"/>
          </w:cols>
        </w:sectPr>
        <w:rPr/>
      </w:pPr>
    </w:p>
    <w:p>
      <w:pPr>
        <w:ind w:firstLine="6215"/>
        <w:spacing w:before="43" w:line="188" w:lineRule="auto"/>
        <w:rPr>
          <w:rFonts w:ascii="Microsoft YaHei" w:hAnsi="Microsoft YaHei" w:eastAsia="Microsoft YaHei" w:cs="Microsoft YaHei"/>
          <w:sz w:val="16"/>
          <w:szCs w:val="16"/>
        </w:rPr>
      </w:pPr>
      <w:hyperlink w:history="true" r:id="rId18">
        <w:r>
          <w:rPr>
            <w:rFonts w:ascii="Microsoft YaHei" w:hAnsi="Microsoft YaHei" w:eastAsia="Microsoft YaHei" w:cs="Microsoft YaHei"/>
            <w:sz w:val="16"/>
            <w:szCs w:val="16"/>
            <w:color w:val="222222"/>
            <w:spacing w:val="-2"/>
          </w:rPr>
          <w:t>网站地图</w:t>
        </w:r>
      </w:hyperlink>
    </w:p>
    <w:p>
      <w:pPr>
        <w:spacing w:line="14" w:lineRule="auto"/>
        <w:rPr>
          <w:rFonts w:ascii="SimSun"/>
          <w:sz w:val="2"/>
        </w:rPr>
      </w:pPr>
      <w:r>
        <w:rPr>
          <w:rFonts w:ascii="SimSun" w:hAnsi="SimSun" w:eastAsia="SimSun" w:cs="SimSun"/>
          <w:sz w:val="2"/>
          <w:szCs w:val="2"/>
        </w:rPr>
        <w:br w:type="column"/>
      </w:r>
    </w:p>
    <w:p>
      <w:pPr>
        <w:ind w:firstLine="98"/>
        <w:spacing w:before="63" w:line="172" w:lineRule="exact"/>
        <w:textAlignment w:val="center"/>
        <w:rPr/>
      </w:pPr>
      <w:r>
        <w:drawing>
          <wp:inline distT="0" distB="0" distL="0" distR="0">
            <wp:extent cx="6832" cy="109321"/>
            <wp:effectExtent l="0" t="0" r="0" b="0"/>
            <wp:docPr id="10" name="IM 10"/>
            <wp:cNvGraphicFramePr/>
            <a:graphic>
              <a:graphicData uri="http://schemas.openxmlformats.org/drawingml/2006/picture">
                <pic:pic>
                  <pic:nvPicPr>
                    <pic:cNvPr id="10" name="IM 10"/>
                    <pic:cNvPicPr/>
                  </pic:nvPicPr>
                  <pic:blipFill>
                    <a:blip r:embed="rId19"/>
                    <a:stretch>
                      <a:fillRect/>
                    </a:stretch>
                  </pic:blipFill>
                  <pic:spPr>
                    <a:xfrm rot="0">
                      <a:off x="0" y="0"/>
                      <a:ext cx="6832" cy="109321"/>
                    </a:xfrm>
                    <a:prstGeom prst="rect">
                      <a:avLst/>
                    </a:prstGeom>
                  </pic:spPr>
                </pic:pic>
              </a:graphicData>
            </a:graphic>
          </wp:inline>
        </w:drawing>
      </w:r>
    </w:p>
    <w:p>
      <w:pPr>
        <w:spacing w:line="14" w:lineRule="auto"/>
        <w:rPr>
          <w:rFonts w:ascii="SimSun"/>
          <w:sz w:val="2"/>
        </w:rPr>
      </w:pPr>
      <w:r>
        <w:rPr>
          <w:rFonts w:ascii="SimSun" w:hAnsi="SimSun" w:eastAsia="SimSun" w:cs="SimSun"/>
          <w:sz w:val="2"/>
          <w:szCs w:val="2"/>
        </w:rPr>
        <w:br w:type="column"/>
      </w:r>
    </w:p>
    <w:p>
      <w:pPr>
        <w:ind w:firstLine="72"/>
        <w:spacing w:before="41" w:line="188" w:lineRule="auto"/>
        <w:rPr>
          <w:rFonts w:ascii="Microsoft YaHei" w:hAnsi="Microsoft YaHei" w:eastAsia="Microsoft YaHei" w:cs="Microsoft YaHei"/>
          <w:sz w:val="16"/>
          <w:szCs w:val="16"/>
        </w:rPr>
      </w:pPr>
      <w:hyperlink w:history="true" r:id="rId20">
        <w:r>
          <w:rPr>
            <w:rFonts w:ascii="Microsoft YaHei" w:hAnsi="Microsoft YaHei" w:eastAsia="Microsoft YaHei" w:cs="Microsoft YaHei"/>
            <w:sz w:val="16"/>
            <w:szCs w:val="16"/>
            <w:color w:val="222222"/>
          </w:rPr>
          <w:t>联系我们</w:t>
        </w:r>
      </w:hyperlink>
    </w:p>
    <w:p>
      <w:pPr>
        <w:sectPr>
          <w:type w:val="continuous"/>
          <w:pgSz w:w="11900" w:h="16839"/>
          <w:pgMar w:top="293" w:right="0" w:bottom="0" w:left="0" w:header="0" w:footer="0" w:gutter="0"/>
          <w:cols w:equalWidth="0" w:num="3">
            <w:col w:w="6946" w:space="100"/>
            <w:col w:w="181" w:space="100"/>
            <w:col w:w="4573" w:space="0"/>
          </w:cols>
        </w:sectPr>
        <w:rPr/>
      </w:pPr>
    </w:p>
    <w:p>
      <w:pPr>
        <w:ind w:firstLine="6076"/>
        <w:spacing w:before="214" w:line="180"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222222"/>
          <w:spacing w:val="-1"/>
        </w:rPr>
        <w:t>主办单位：中华人民共和国财政部</w:t>
      </w:r>
    </w:p>
    <w:p>
      <w:pPr>
        <w:ind w:firstLine="4402"/>
        <w:spacing w:before="47" w:line="220"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222222"/>
        </w:rPr>
        <w:t>网站标识码：bm14000001</w:t>
      </w:r>
      <w:r>
        <w:rPr>
          <w:rFonts w:ascii="Microsoft YaHei" w:hAnsi="Microsoft YaHei" w:eastAsia="Microsoft YaHei" w:cs="Microsoft YaHei"/>
          <w:sz w:val="14"/>
          <w:szCs w:val="14"/>
          <w:color w:val="222222"/>
          <w:spacing w:val="62"/>
        </w:rPr>
        <w:t> </w:t>
      </w:r>
      <w:hyperlink w:history="true" r:id="rId21">
        <w:r>
          <w:rPr>
            <w:rFonts w:ascii="Microsoft YaHei" w:hAnsi="Microsoft YaHei" w:eastAsia="Microsoft YaHei" w:cs="Microsoft YaHei"/>
            <w:sz w:val="14"/>
            <w:szCs w:val="14"/>
            <w:color w:val="222222"/>
          </w:rPr>
          <w:t>京ICP备05002860号</w:t>
        </w:r>
      </w:hyperlink>
      <w:r>
        <w:rPr>
          <w:rFonts w:ascii="Microsoft YaHei" w:hAnsi="Microsoft YaHei" w:eastAsia="Microsoft YaHei" w:cs="Microsoft YaHei"/>
          <w:sz w:val="14"/>
          <w:szCs w:val="14"/>
          <w:color w:val="222222"/>
          <w:spacing w:val="20"/>
          <w:w w:val="101"/>
        </w:rPr>
        <w:t>  </w:t>
      </w:r>
      <w:hyperlink w:history="true" r:id="rId22">
        <w:r>
          <w:rPr>
            <w:sz w:val="14"/>
            <w:szCs w:val="14"/>
            <w:position w:val="-7"/>
          </w:rPr>
          <w:drawing>
            <wp:inline distT="0" distB="0" distL="0" distR="0">
              <wp:extent cx="136652" cy="136652"/>
              <wp:effectExtent l="0" t="0" r="0" b="0"/>
              <wp:docPr id="11" name="IM 11"/>
              <wp:cNvGraphicFramePr/>
              <a:graphic>
                <a:graphicData uri="http://schemas.openxmlformats.org/drawingml/2006/picture">
                  <pic:pic>
                    <pic:nvPicPr>
                      <pic:cNvPr id="11" name="IM 11"/>
                      <pic:cNvPicPr/>
                    </pic:nvPicPr>
                    <pic:blipFill>
                      <a:blip r:embed="rId23"/>
                      <a:stretch>
                        <a:fillRect/>
                      </a:stretch>
                    </pic:blipFill>
                    <pic:spPr>
                      <a:xfrm rot="0">
                        <a:off x="0" y="0"/>
                        <a:ext cx="136652" cy="136652"/>
                      </a:xfrm>
                      <a:prstGeom prst="rect">
                        <a:avLst/>
                      </a:prstGeom>
                    </pic:spPr>
                  </pic:pic>
                </a:graphicData>
              </a:graphic>
            </wp:inline>
          </w:drawing>
        </w:r>
        <w:r>
          <w:rPr>
            <w:rFonts w:ascii="Microsoft YaHei" w:hAnsi="Microsoft YaHei" w:eastAsia="Microsoft YaHei" w:cs="Microsoft YaHei"/>
            <w:sz w:val="14"/>
            <w:szCs w:val="14"/>
            <w:color w:val="222222"/>
            <w:spacing w:val="-37"/>
          </w:rPr>
          <w:t> </w:t>
        </w:r>
        <w:r>
          <w:rPr>
            <w:rFonts w:ascii="Microsoft YaHei" w:hAnsi="Microsoft YaHei" w:eastAsia="Microsoft YaHei" w:cs="Microsoft YaHei"/>
            <w:sz w:val="14"/>
            <w:szCs w:val="14"/>
            <w:color w:val="222222"/>
          </w:rPr>
          <w:t>京公网安备11010202000006号</w:t>
        </w:r>
      </w:hyperlink>
    </w:p>
    <w:p>
      <w:pPr>
        <w:ind w:firstLine="6144"/>
        <w:spacing w:before="64" w:line="180"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222222"/>
          <w:spacing w:val="-1"/>
        </w:rPr>
        <w:t>技术支持：财政部信息网络中心</w:t>
      </w:r>
    </w:p>
    <w:p>
      <w:pPr>
        <w:ind w:firstLine="5343"/>
        <w:spacing w:before="78" w:line="180"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222222"/>
          <w:spacing w:val="-1"/>
        </w:rPr>
        <w:t>中华人民共和国财政部</w:t>
      </w:r>
      <w:r>
        <w:rPr>
          <w:rFonts w:ascii="Microsoft YaHei" w:hAnsi="Microsoft YaHei" w:eastAsia="Microsoft YaHei" w:cs="Microsoft YaHei"/>
          <w:sz w:val="14"/>
          <w:szCs w:val="14"/>
          <w:color w:val="222222"/>
          <w:spacing w:val="5"/>
        </w:rPr>
        <w:t>  </w:t>
      </w:r>
      <w:r>
        <w:rPr>
          <w:rFonts w:ascii="Microsoft YaHei" w:hAnsi="Microsoft YaHei" w:eastAsia="Microsoft YaHei" w:cs="Microsoft YaHei"/>
          <w:sz w:val="14"/>
          <w:szCs w:val="14"/>
          <w:color w:val="222222"/>
          <w:spacing w:val="-1"/>
        </w:rPr>
        <w:t>版权所有，如需转载，请注明来源</w:t>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2" w:lineRule="auto"/>
        <w:rPr>
          <w:rFonts w:ascii="SimSun"/>
          <w:sz w:val="21"/>
        </w:rPr>
      </w:pPr>
      <w:r/>
    </w:p>
    <w:p>
      <w:pPr>
        <w:spacing w:line="243" w:lineRule="auto"/>
        <w:rPr>
          <w:rFonts w:ascii="SimSun"/>
          <w:sz w:val="21"/>
        </w:rPr>
      </w:pPr>
      <w:r/>
    </w:p>
    <w:p>
      <w:pPr>
        <w:spacing w:line="243" w:lineRule="auto"/>
        <w:rPr>
          <w:rFonts w:ascii="SimSun"/>
          <w:sz w:val="21"/>
        </w:rPr>
      </w:pPr>
      <w:r/>
    </w:p>
    <w:p>
      <w:pPr>
        <w:spacing w:line="243" w:lineRule="auto"/>
        <w:rPr>
          <w:rFonts w:ascii="SimSun"/>
          <w:sz w:val="21"/>
        </w:rPr>
      </w:pPr>
      <w:r/>
    </w:p>
    <w:p>
      <w:pPr>
        <w:spacing w:line="243" w:lineRule="auto"/>
        <w:rPr>
          <w:rFonts w:ascii="SimSun"/>
          <w:sz w:val="21"/>
        </w:rPr>
      </w:pPr>
      <w:r/>
    </w:p>
    <w:p>
      <w:pPr>
        <w:spacing w:line="243" w:lineRule="auto"/>
        <w:rPr>
          <w:rFonts w:ascii="SimSun"/>
          <w:sz w:val="21"/>
        </w:rPr>
      </w:pPr>
      <w:r/>
    </w:p>
    <w:p>
      <w:pPr>
        <w:spacing w:line="243" w:lineRule="auto"/>
        <w:rPr>
          <w:rFonts w:ascii="SimSun"/>
          <w:sz w:val="21"/>
        </w:rPr>
      </w:pPr>
      <w:r/>
    </w:p>
    <w:p>
      <w:pPr>
        <w:spacing w:line="243" w:lineRule="auto"/>
        <w:rPr>
          <w:rFonts w:ascii="SimSun"/>
          <w:sz w:val="21"/>
        </w:rPr>
      </w:pPr>
      <w:r/>
    </w:p>
    <w:p>
      <w:pPr>
        <w:spacing w:line="243" w:lineRule="auto"/>
        <w:rPr>
          <w:rFonts w:ascii="SimSun"/>
          <w:sz w:val="21"/>
        </w:rPr>
      </w:pPr>
      <w:r/>
    </w:p>
    <w:p>
      <w:pPr>
        <w:spacing w:line="243" w:lineRule="auto"/>
        <w:rPr>
          <w:rFonts w:ascii="SimSun"/>
          <w:sz w:val="21"/>
        </w:rPr>
      </w:pPr>
      <w:r/>
    </w:p>
    <w:p>
      <w:pPr>
        <w:spacing w:line="243" w:lineRule="auto"/>
        <w:rPr>
          <w:rFonts w:ascii="SimSun"/>
          <w:sz w:val="21"/>
        </w:rPr>
      </w:pPr>
      <w:r/>
    </w:p>
    <w:p>
      <w:pPr>
        <w:spacing w:line="243" w:lineRule="auto"/>
        <w:rPr>
          <w:rFonts w:ascii="SimSun"/>
          <w:sz w:val="21"/>
        </w:rPr>
      </w:pPr>
      <w:r/>
    </w:p>
    <w:p>
      <w:pPr>
        <w:spacing w:line="243" w:lineRule="auto"/>
        <w:rPr>
          <w:rFonts w:ascii="SimSun"/>
          <w:sz w:val="21"/>
        </w:rPr>
      </w:pPr>
      <w:r/>
    </w:p>
    <w:p>
      <w:pPr>
        <w:spacing w:line="243" w:lineRule="auto"/>
        <w:rPr>
          <w:rFonts w:ascii="SimSun"/>
          <w:sz w:val="21"/>
        </w:rPr>
      </w:pPr>
      <w:r/>
    </w:p>
    <w:p>
      <w:pPr>
        <w:spacing w:line="243" w:lineRule="auto"/>
        <w:rPr>
          <w:rFonts w:ascii="SimSun"/>
          <w:sz w:val="21"/>
        </w:rPr>
      </w:pPr>
      <w:r/>
    </w:p>
    <w:p>
      <w:pPr>
        <w:ind w:firstLine="539"/>
        <w:spacing w:before="47" w:line="218" w:lineRule="exact"/>
        <w:rPr>
          <w:rFonts w:ascii="Arial" w:hAnsi="Arial" w:eastAsia="Arial" w:cs="Arial"/>
          <w:sz w:val="16"/>
          <w:szCs w:val="16"/>
        </w:rPr>
      </w:pPr>
      <w:r>
        <w:rPr>
          <w:rFonts w:ascii="Arial" w:hAnsi="Arial" w:eastAsia="Arial" w:cs="Arial"/>
          <w:sz w:val="16"/>
          <w:szCs w:val="16"/>
          <w:spacing w:val="-1"/>
        </w:rPr>
        <w:t>kjs.mof.gov.cn/zhengcejiedu/202202/t20220210_3786841.htm</w:t>
      </w:r>
      <w:r>
        <w:rPr>
          <w:rFonts w:ascii="Arial" w:hAnsi="Arial" w:eastAsia="Arial" w:cs="Arial"/>
          <w:sz w:val="16"/>
          <w:szCs w:val="16"/>
        </w:rPr>
        <w:t>                                                                                                                                            </w:t>
      </w:r>
      <w:r>
        <w:rPr>
          <w:rFonts w:ascii="Arial" w:hAnsi="Arial" w:eastAsia="Arial" w:cs="Arial"/>
          <w:sz w:val="16"/>
          <w:szCs w:val="16"/>
          <w:spacing w:val="-1"/>
        </w:rPr>
        <w:t>5/5</w:t>
      </w:r>
    </w:p>
    <w:sectPr>
      <w:type w:val="continuous"/>
      <w:pgSz w:w="11900" w:h="16839"/>
      <w:pgMar w:top="293" w:right="0" w:bottom="0" w:left="0" w:header="0" w:footer="0" w:gutter="0"/>
      <w:cols w:equalWidth="0" w:num="1">
        <w:col w:w="11900" w:space="0"/>
      </w:cols>
    </w:sectPr>
  </w:body>
</w:document>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rPr>
        <w:rFonts w:ascii="SimSun"/>
        <w:sz w:val="21"/>
      </w:rPr>
    </w:pPr>
    <w:r>
      <w:drawing>
        <wp:anchor distT="0" distB="0" distL="0" distR="0" simplePos="0" relativeHeight="251658240" behindDoc="0" locked="0" layoutInCell="0" allowOverlap="1">
          <wp:simplePos x="0" y="0"/>
          <wp:positionH relativeFrom="page">
            <wp:posOffset>368299</wp:posOffset>
          </wp:positionH>
          <wp:positionV relativeFrom="page">
            <wp:posOffset>368300</wp:posOffset>
          </wp:positionV>
          <wp:extent cx="6832600" cy="9968762"/>
          <wp:effectExtent l="0" t="0" r="0" b="0"/>
          <wp:wrapNone/>
          <wp:docPr id="3" name="IM 3"/>
          <wp:cNvGraphicFramePr/>
          <a:graphic>
            <a:graphicData uri="http://schemas.openxmlformats.org/drawingml/2006/picture">
              <pic:pic>
                <pic:nvPicPr>
                  <pic:cNvPr id="3" name="IM 3"/>
                  <pic:cNvPicPr/>
                </pic:nvPicPr>
                <pic:blipFill>
                  <a:blip r:embed="rId1"/>
                  <a:stretch>
                    <a:fillRect/>
                  </a:stretch>
                </pic:blipFill>
                <pic:spPr>
                  <a:xfrm rot="0">
                    <a:off x="0" y="0"/>
                    <a:ext cx="6832600" cy="9968762"/>
                  </a:xfrm>
                  <a:prstGeom prst="rect">
                    <a:avLst/>
                  </a:prstGeom>
                </pic:spPr>
              </pic:pic>
            </a:graphicData>
          </a:graphic>
        </wp:anchor>
      </w:drawing>
    </w: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SimSun"/>
        <w:sz w:val="2"/>
      </w:rPr>
    </w:pPr>
    <w:r/>
  </w:p>
</w:hd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color w:val="000000"/>
        <w:kern w:val="0"/>
        <w:snapToGrid w:val="0"/>
      </w:rPr>
    </w:rPrDefault>
  </w:docDefaults>
  <w:style w:type="paragraph" w:styleId="1" w:default="1">
    <w:name w:val="Normal"/>
    <w:semiHidden/>
    <w:qFormat/>
    <w:pPr>
      <w:spacing w:line="240" w:lineRule="w:auto"/>
      <w:jc w:val="left"/>
      <w:autoSpaceDE w:val="0"/>
      <w:autoSpaceDN w:val="0"/>
      <w:adjustRightInd w:val="0"/>
      <w:snapToGrid w:val="0"/>
      <w:kinsoku w:val="0"/>
      <w:textAlignment w:val="baseline"/>
    </w:pPr>
    <w:rPr>
      <w:color w:val="000000"/>
      <w:kern w:val="0"/>
      <w:snapToGrid w:val="0"/>
      <w:noProof w:val="1"/>
    </w:rPr>
  </w:style>
  <w:style w:type="table" w:styleId="2" w:default="1">
    <w:name w:val="Table Normal"/>
    <w:semiHidden/>
    <w:unhideWhenUsed/>
    <w:qFormat/>
    <w:tblPr>
      <w:tblCellMar>
        <w:left w:w="0" w:type="dxa"/>
        <w:right w:w="0" w:type="dxa"/>
        <w:bottom w:w="0" w:type="dxa"/>
        <w:top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hyperlink" Target="http://kjs.mof.gov.cn/zhengcejiedu/" TargetMode="External"/><Relationship Id="rId5" Type="http://schemas.openxmlformats.org/officeDocument/2006/relationships/hyperlink" Target="http://kjs.mof.gov.cn/" TargetMode="External"/><Relationship Id="rId4" Type="http://schemas.openxmlformats.org/officeDocument/2006/relationships/hyperlink" Target="http://www.mof.gov.cn/" TargetMode="External"/><Relationship Id="rId3" Type="http://schemas.openxmlformats.org/officeDocument/2006/relationships/hyperlink" Target="javascript:void(0)" TargetMode="External"/><Relationship Id="rId25" Type="http://schemas.openxmlformats.org/officeDocument/2006/relationships/styles" Target="styles.xml"/><Relationship Id="rId24" Type="http://schemas.openxmlformats.org/officeDocument/2006/relationships/settings" Target="settings.xml"/><Relationship Id="rId23" Type="http://schemas.openxmlformats.org/officeDocument/2006/relationships/image" Target="media/image11.png"/><Relationship Id="rId22" Type="http://schemas.openxmlformats.org/officeDocument/2006/relationships/hyperlink" Target="http://www.beian.gov.cn/portal/registerSystemInfo?recordcode=11010202000006" TargetMode="External"/><Relationship Id="rId21" Type="http://schemas.openxmlformats.org/officeDocument/2006/relationships/hyperlink" Target="https://beian.miit.gov.cn/#/Integrated/index" TargetMode="External"/><Relationship Id="rId20" Type="http://schemas.openxmlformats.org/officeDocument/2006/relationships/hyperlink" Target="http://www.mof.gov.cn/gywm/" TargetMode="External"/><Relationship Id="rId2" Type="http://schemas.openxmlformats.org/officeDocument/2006/relationships/image" Target="media/image2.png"/><Relationship Id="rId19" Type="http://schemas.openxmlformats.org/officeDocument/2006/relationships/image" Target="media/image10.jpeg"/><Relationship Id="rId18" Type="http://schemas.openxmlformats.org/officeDocument/2006/relationships/hyperlink" Target="http://www.mof.gov.cn/wzdt/" TargetMode="External"/><Relationship Id="rId17" Type="http://schemas.openxmlformats.org/officeDocument/2006/relationships/hyperlink" Target="javascript:close()" TargetMode="External"/><Relationship Id="rId16" Type="http://schemas.openxmlformats.org/officeDocument/2006/relationships/hyperlink" Target="javascript:window.print()" TargetMode="External"/><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hyperlink" Target="http://kjs.mof.gov.cn/gongzuodongtai/202111/t20211126_3769461.htm" TargetMode="External"/><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docProps/app.xml><?xml version="1.0" encoding="utf-8"?>
<ap:Properties xmlns:vt="http://schemas.openxmlformats.org/officeDocument/2006/docPropsVTypes" xmlns:ap="http://schemas.openxmlformats.org/officeDocument/2006/extended-properties">
  <ap:Application>Mozilla/5.0 (Windows NT 10.0; WOW64) AppleWebKit/537.36 (KHTML, like Gecko) Chrome/86.0.4240.198 Safari/537.36 QIHU 360SE</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2022-04-27T01:06:48Z</dcterms:created>
</cp:coreProperties>
</file>

<file path=docProps/custom.xml><?xml version="1.0" encoding="utf-8"?>
<op:Properties xmlns:vt="http://schemas.openxmlformats.org/officeDocument/2006/docPropsVTypes" xmlns:op="http://schemas.openxmlformats.org/officeDocument/2006/custom-properties">
  <op:property fmtid="{E94486CC-9CD1-11EB-B3E1-52540006F7B4}" pid="2" name="CRO">
    <vt:lpwstr>wqlLaW5nc29mdCBQREYgdG8gV1BTIDY1</vt:lpwstr>
  </op:property>
  <op:property fmtid="{E94486CC-9CD1-11EB-B3E1-52540006F7B4}" pid="3" name="Created">
    <vt:filetime>2022-04-27T16:21:05</vt:filetime>
  </op:property>
</op:Properties>
</file>